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1A7B9" w14:textId="42766597" w:rsidR="007D3532" w:rsidRPr="008C3877" w:rsidRDefault="008C3877" w:rsidP="007D3532">
      <w:pPr>
        <w:rPr>
          <w:lang w:val="en-CA"/>
        </w:rPr>
      </w:pPr>
      <w:r w:rsidRPr="00BB3680">
        <w:rPr>
          <w:lang w:val="en-CA"/>
        </w:rPr>
        <w:t xml:space="preserve">[Below is a template for the </w:t>
      </w:r>
      <w:r w:rsidR="009F07AF" w:rsidRPr="009F07AF">
        <w:rPr>
          <w:b/>
          <w:bCs/>
          <w:lang w:val="en-CA"/>
        </w:rPr>
        <w:t>Notice - Increasing Compensation</w:t>
      </w:r>
      <w:r w:rsidRPr="00BB3680">
        <w:rPr>
          <w:lang w:val="en-CA"/>
        </w:rPr>
        <w:t xml:space="preserve"> that employers can use. It's customizable. Just follow the instructions in brackets, delete them when you're done, click on the areas where you can fill in information, customize tables, add your own text, and so on.]</w:t>
      </w:r>
    </w:p>
    <w:p w14:paraId="4B4FE059" w14:textId="77777777" w:rsidR="008C3877" w:rsidRPr="008C3877" w:rsidRDefault="008C3877" w:rsidP="007D3532">
      <w:pPr>
        <w:rPr>
          <w:lang w:val="en-CA"/>
        </w:rPr>
      </w:pPr>
    </w:p>
    <w:p w14:paraId="5BB08C86" w14:textId="77777777" w:rsidR="0028298E" w:rsidRPr="002040AA" w:rsidRDefault="009C5679" w:rsidP="0028298E">
      <w:pPr>
        <w:rPr>
          <w:b/>
          <w:noProof/>
          <w:sz w:val="28"/>
          <w:lang w:val="en-CA"/>
        </w:rPr>
      </w:pPr>
      <w:r w:rsidRPr="009C5679">
        <w:rPr>
          <w:b/>
          <w:sz w:val="28"/>
          <w:lang w:val="en-CA"/>
        </w:rPr>
        <w:t xml:space="preserve">Name of </w:t>
      </w:r>
      <w:r w:rsidR="00E81DF0" w:rsidRPr="009C5679">
        <w:rPr>
          <w:b/>
          <w:sz w:val="28"/>
          <w:lang w:val="en-CA"/>
        </w:rPr>
        <w:t>Organization:</w:t>
      </w:r>
      <w:r w:rsidR="00E37822" w:rsidRPr="009C5679">
        <w:rPr>
          <w:b/>
          <w:sz w:val="28"/>
          <w:lang w:val="en-CA"/>
        </w:rPr>
        <w:t xml:space="preserve"> </w:t>
      </w:r>
      <w:r w:rsidR="0028298E" w:rsidRPr="002040AA">
        <w:rPr>
          <w:b/>
          <w:sz w:val="28"/>
          <w:szCs w:val="28"/>
          <w:lang w:val="en-CA"/>
        </w:rPr>
        <w:t>[Put the name of the employer here]</w:t>
      </w:r>
    </w:p>
    <w:p w14:paraId="62F9966D" w14:textId="1F0BD3E3" w:rsidR="00E37822" w:rsidRPr="009C5679" w:rsidRDefault="00E37822" w:rsidP="00D47EEB">
      <w:pPr>
        <w:pStyle w:val="Heading1"/>
        <w:spacing w:before="0"/>
        <w:rPr>
          <w:b/>
          <w:noProof/>
          <w:color w:val="auto"/>
          <w:sz w:val="28"/>
          <w:szCs w:val="24"/>
          <w:lang w:val="en-CA"/>
        </w:rPr>
      </w:pPr>
    </w:p>
    <w:p w14:paraId="1C0CC62A" w14:textId="77777777" w:rsidR="00E37822" w:rsidRPr="009C5679" w:rsidRDefault="00E37822" w:rsidP="00897AF8">
      <w:pPr>
        <w:jc w:val="center"/>
        <w:rPr>
          <w:lang w:val="en-CA"/>
        </w:rPr>
      </w:pPr>
    </w:p>
    <w:p w14:paraId="7528E9BA" w14:textId="23D8CCD8" w:rsidR="00E37822" w:rsidRDefault="009C5679" w:rsidP="00BB3680">
      <w:pPr>
        <w:pStyle w:val="Heading1"/>
        <w:spacing w:after="120"/>
        <w:rPr>
          <w:b/>
          <w:lang w:val="en-CA"/>
        </w:rPr>
      </w:pPr>
      <w:r w:rsidRPr="009C5679">
        <w:rPr>
          <w:b/>
          <w:lang w:val="en-CA"/>
        </w:rPr>
        <w:t xml:space="preserve">NOTICE </w:t>
      </w:r>
      <w:r w:rsidR="009F07AF">
        <w:rPr>
          <w:b/>
          <w:lang w:val="en-CA"/>
        </w:rPr>
        <w:t>- INCREASING COMPENSATION</w:t>
      </w:r>
    </w:p>
    <w:p w14:paraId="6F6DD37A" w14:textId="77777777" w:rsidR="0028298E" w:rsidRDefault="0028298E" w:rsidP="0028298E">
      <w:pPr>
        <w:rPr>
          <w:lang w:val="en-CA"/>
        </w:rPr>
      </w:pPr>
    </w:p>
    <w:p w14:paraId="40A41BCA" w14:textId="75D551BC" w:rsidR="0028298E" w:rsidRPr="00BB3680" w:rsidRDefault="0028298E" w:rsidP="0028298E">
      <w:pPr>
        <w:rPr>
          <w:b/>
          <w:sz w:val="32"/>
          <w:szCs w:val="32"/>
          <w:lang w:val="en-CA"/>
        </w:rPr>
      </w:pPr>
      <w:r w:rsidRPr="00BB3680">
        <w:rPr>
          <w:b/>
          <w:sz w:val="32"/>
          <w:szCs w:val="32"/>
          <w:lang w:val="en-CA"/>
        </w:rPr>
        <w:t xml:space="preserve">POSTING DATE: </w:t>
      </w:r>
      <w:r>
        <w:rPr>
          <w:b/>
          <w:sz w:val="32"/>
          <w:szCs w:val="32"/>
          <w:lang w:val="en-CA"/>
        </w:rPr>
        <w:t>[Insert date here]</w:t>
      </w:r>
    </w:p>
    <w:p w14:paraId="2B89681F" w14:textId="58EE5169" w:rsidR="008C3877" w:rsidRDefault="008C3877" w:rsidP="008C3877">
      <w:pPr>
        <w:spacing w:before="120" w:after="240"/>
        <w:rPr>
          <w:rFonts w:eastAsia="Arial"/>
          <w:b/>
          <w:bCs/>
          <w:noProof/>
          <w:sz w:val="28"/>
          <w:szCs w:val="28"/>
          <w:lang w:val="en-CA" w:bidi="en-CA"/>
        </w:rPr>
      </w:pPr>
    </w:p>
    <w:p w14:paraId="42208C23" w14:textId="0D41ACA8" w:rsidR="3001068D" w:rsidRDefault="3001068D" w:rsidP="48197981">
      <w:pPr>
        <w:spacing w:after="240"/>
        <w:rPr>
          <w:rFonts w:eastAsia="Arial"/>
          <w:noProof/>
          <w:sz w:val="28"/>
          <w:szCs w:val="28"/>
          <w:lang w:val="en-CA" w:bidi="en-CA"/>
        </w:rPr>
      </w:pPr>
      <w:r w:rsidRPr="00B2006A">
        <w:rPr>
          <w:rFonts w:eastAsia="Arial"/>
          <w:b/>
          <w:bCs/>
          <w:noProof/>
          <w:sz w:val="28"/>
          <w:szCs w:val="28"/>
          <w:lang w:val="en-CA" w:bidi="en-CA"/>
        </w:rPr>
        <w:t xml:space="preserve">The purpose </w:t>
      </w:r>
      <w:r w:rsidRPr="48197981">
        <w:rPr>
          <w:rFonts w:eastAsia="Arial"/>
          <w:noProof/>
          <w:sz w:val="28"/>
          <w:szCs w:val="28"/>
          <w:lang w:val="en-CA" w:bidi="en-CA"/>
        </w:rPr>
        <w:t>of this notice is to inform employees of an</w:t>
      </w:r>
      <w:r w:rsidR="00A66B41">
        <w:rPr>
          <w:rFonts w:eastAsia="Arial"/>
          <w:noProof/>
          <w:sz w:val="28"/>
          <w:szCs w:val="28"/>
          <w:lang w:val="en-CA" w:bidi="en-CA"/>
        </w:rPr>
        <w:t>y</w:t>
      </w:r>
      <w:r w:rsidRPr="48197981">
        <w:rPr>
          <w:rFonts w:eastAsia="Arial"/>
          <w:noProof/>
          <w:sz w:val="28"/>
          <w:szCs w:val="28"/>
          <w:lang w:val="en-CA" w:bidi="en-CA"/>
        </w:rPr>
        <w:t xml:space="preserve"> increase</w:t>
      </w:r>
      <w:r w:rsidR="00A66B41">
        <w:rPr>
          <w:rFonts w:eastAsia="Arial"/>
          <w:noProof/>
          <w:sz w:val="28"/>
          <w:szCs w:val="28"/>
          <w:lang w:val="en-CA" w:bidi="en-CA"/>
        </w:rPr>
        <w:t>s</w:t>
      </w:r>
      <w:r w:rsidRPr="48197981">
        <w:rPr>
          <w:rFonts w:eastAsia="Arial"/>
          <w:noProof/>
          <w:sz w:val="28"/>
          <w:szCs w:val="28"/>
          <w:lang w:val="en-CA" w:bidi="en-CA"/>
        </w:rPr>
        <w:t xml:space="preserve"> in compensation</w:t>
      </w:r>
      <w:r w:rsidR="00A66B41">
        <w:rPr>
          <w:rFonts w:eastAsia="Arial"/>
          <w:noProof/>
          <w:sz w:val="28"/>
          <w:szCs w:val="28"/>
          <w:lang w:val="en-CA" w:bidi="en-CA"/>
        </w:rPr>
        <w:t xml:space="preserve"> owed to</w:t>
      </w:r>
      <w:r w:rsidRPr="48197981">
        <w:rPr>
          <w:rFonts w:eastAsia="Arial"/>
          <w:noProof/>
          <w:sz w:val="28"/>
          <w:szCs w:val="28"/>
          <w:lang w:val="en-CA" w:bidi="en-CA"/>
        </w:rPr>
        <w:t xml:space="preserve">  </w:t>
      </w:r>
      <w:r w:rsidR="00A66B41">
        <w:rPr>
          <w:rFonts w:eastAsia="Arial"/>
          <w:noProof/>
          <w:sz w:val="28"/>
          <w:szCs w:val="28"/>
          <w:lang w:val="en-CA" w:bidi="en-CA"/>
        </w:rPr>
        <w:t>predo</w:t>
      </w:r>
      <w:r w:rsidR="009A4334">
        <w:rPr>
          <w:rFonts w:eastAsia="Arial"/>
          <w:noProof/>
          <w:sz w:val="28"/>
          <w:szCs w:val="28"/>
          <w:lang w:val="en-CA" w:bidi="en-CA"/>
        </w:rPr>
        <w:t>m</w:t>
      </w:r>
      <w:r w:rsidR="00A66B41">
        <w:rPr>
          <w:rFonts w:eastAsia="Arial"/>
          <w:noProof/>
          <w:sz w:val="28"/>
          <w:szCs w:val="28"/>
          <w:lang w:val="en-CA" w:bidi="en-CA"/>
        </w:rPr>
        <w:t xml:space="preserve">inantly </w:t>
      </w:r>
      <w:r w:rsidR="003019B9">
        <w:rPr>
          <w:rFonts w:eastAsia="Arial"/>
          <w:noProof/>
          <w:sz w:val="28"/>
          <w:szCs w:val="28"/>
          <w:lang w:val="en-CA" w:bidi="en-CA"/>
        </w:rPr>
        <w:t>female</w:t>
      </w:r>
      <w:r w:rsidRPr="48197981">
        <w:rPr>
          <w:rFonts w:eastAsia="Arial"/>
          <w:noProof/>
          <w:sz w:val="28"/>
          <w:szCs w:val="28"/>
          <w:lang w:val="en-CA" w:bidi="en-CA"/>
        </w:rPr>
        <w:t xml:space="preserve"> job classes</w:t>
      </w:r>
      <w:r w:rsidR="00BD0C5C">
        <w:rPr>
          <w:rFonts w:eastAsia="Arial"/>
          <w:noProof/>
          <w:sz w:val="28"/>
          <w:szCs w:val="28"/>
          <w:lang w:val="en-CA" w:bidi="en-CA"/>
        </w:rPr>
        <w:t xml:space="preserve"> and to meet legislative requirements under section 56 of the </w:t>
      </w:r>
      <w:r w:rsidR="008C3877">
        <w:rPr>
          <w:rFonts w:eastAsia="Arial"/>
          <w:noProof/>
          <w:sz w:val="28"/>
          <w:szCs w:val="28"/>
          <w:lang w:val="en-CA" w:bidi="en-CA"/>
        </w:rPr>
        <w:t xml:space="preserve">Federal Pay Equity </w:t>
      </w:r>
      <w:r w:rsidR="00BD0C5C">
        <w:rPr>
          <w:rFonts w:eastAsia="Arial"/>
          <w:noProof/>
          <w:sz w:val="28"/>
          <w:szCs w:val="28"/>
          <w:lang w:val="en-CA" w:bidi="en-CA"/>
        </w:rPr>
        <w:t>Act</w:t>
      </w:r>
      <w:r w:rsidR="008C3877">
        <w:rPr>
          <w:rFonts w:eastAsia="Arial"/>
          <w:noProof/>
          <w:sz w:val="28"/>
          <w:szCs w:val="28"/>
          <w:lang w:val="en-CA" w:bidi="en-CA"/>
        </w:rPr>
        <w:t xml:space="preserve"> (the Act)</w:t>
      </w:r>
      <w:r w:rsidR="00BD0C5C">
        <w:rPr>
          <w:rFonts w:eastAsia="Arial"/>
          <w:noProof/>
          <w:sz w:val="28"/>
          <w:szCs w:val="28"/>
          <w:lang w:val="en-CA" w:bidi="en-CA"/>
        </w:rPr>
        <w:t xml:space="preserve">. </w:t>
      </w:r>
      <w:r w:rsidR="00261A3E">
        <w:rPr>
          <w:rFonts w:eastAsia="Arial"/>
          <w:noProof/>
          <w:sz w:val="28"/>
          <w:szCs w:val="28"/>
          <w:lang w:val="en-CA" w:bidi="en-CA"/>
        </w:rPr>
        <w:t xml:space="preserve"> </w:t>
      </w:r>
    </w:p>
    <w:p w14:paraId="0412215C" w14:textId="0C331385" w:rsidR="3001068D" w:rsidRDefault="3001068D" w:rsidP="48197981">
      <w:pPr>
        <w:rPr>
          <w:rFonts w:eastAsia="Arial"/>
          <w:noProof/>
          <w:sz w:val="28"/>
          <w:szCs w:val="28"/>
          <w:lang w:val="en-CA" w:bidi="en-CA"/>
        </w:rPr>
      </w:pPr>
      <w:r w:rsidRPr="48197981">
        <w:rPr>
          <w:rFonts w:eastAsia="Arial"/>
          <w:noProof/>
          <w:sz w:val="28"/>
          <w:szCs w:val="28"/>
          <w:lang w:val="en-CA" w:bidi="en-CA"/>
        </w:rPr>
        <w:t>This notice must be posted for 60 days or until the day on which the increases in compensation have been paid in full, whichever is the latest [Regulations s. 35].</w:t>
      </w:r>
    </w:p>
    <w:p w14:paraId="202158A5" w14:textId="3D57AE3C" w:rsidR="00DB7B03" w:rsidRDefault="001335A9" w:rsidP="00C36954">
      <w:pPr>
        <w:spacing w:after="240"/>
        <w:rPr>
          <w:rFonts w:eastAsia="Arial"/>
          <w:noProof/>
          <w:sz w:val="28"/>
          <w:szCs w:val="28"/>
          <w:lang w:val="en-CA" w:bidi="en-CA"/>
        </w:rPr>
      </w:pPr>
      <w:r w:rsidRPr="48197981">
        <w:rPr>
          <w:rFonts w:eastAsia="Arial"/>
          <w:noProof/>
          <w:sz w:val="28"/>
          <w:szCs w:val="28"/>
          <w:lang w:val="en-CA" w:bidi="en-CA"/>
        </w:rPr>
        <w:t xml:space="preserve"> </w:t>
      </w:r>
    </w:p>
    <w:p w14:paraId="5AE59359" w14:textId="21AE4E0C" w:rsidR="00BD0C5C" w:rsidRDefault="00E037C1" w:rsidP="00C36954">
      <w:pPr>
        <w:spacing w:after="240"/>
        <w:rPr>
          <w:rFonts w:eastAsia="Arial"/>
          <w:noProof/>
          <w:sz w:val="28"/>
          <w:szCs w:val="28"/>
          <w:lang w:val="en-CA" w:bidi="en-CA"/>
        </w:rPr>
      </w:pPr>
      <w:r>
        <w:rPr>
          <w:rFonts w:eastAsia="Arial"/>
          <w:noProof/>
          <w:sz w:val="28"/>
          <w:szCs w:val="28"/>
          <w:lang w:val="en-CA" w:bidi="en-CA"/>
        </w:rPr>
        <w:t>This notice responds to a final pay equity plan that has been posted in accordance with</w:t>
      </w:r>
      <w:r w:rsidR="00B24B10">
        <w:rPr>
          <w:rFonts w:eastAsia="Arial"/>
          <w:noProof/>
          <w:sz w:val="28"/>
          <w:szCs w:val="28"/>
          <w:lang w:val="en-CA" w:bidi="en-CA"/>
        </w:rPr>
        <w:t xml:space="preserve"> either [select </w:t>
      </w:r>
      <w:r w:rsidR="008C3877">
        <w:rPr>
          <w:rFonts w:eastAsia="Arial"/>
          <w:noProof/>
          <w:sz w:val="28"/>
          <w:szCs w:val="28"/>
          <w:lang w:val="en-CA" w:bidi="en-CA"/>
        </w:rPr>
        <w:t>one option</w:t>
      </w:r>
      <w:r w:rsidR="00B24B10">
        <w:rPr>
          <w:rFonts w:eastAsia="Arial"/>
          <w:noProof/>
          <w:sz w:val="28"/>
          <w:szCs w:val="28"/>
          <w:lang w:val="en-CA" w:bidi="en-CA"/>
        </w:rPr>
        <w:t xml:space="preserve">]: </w:t>
      </w:r>
    </w:p>
    <w:p w14:paraId="3A2D8E5F" w14:textId="34517DE0" w:rsidR="00652358" w:rsidRDefault="00000000" w:rsidP="006C442A">
      <w:pPr>
        <w:spacing w:after="120"/>
        <w:rPr>
          <w:rFonts w:eastAsia="Arial"/>
          <w:noProof/>
          <w:sz w:val="28"/>
          <w:szCs w:val="28"/>
          <w:lang w:val="en-CA" w:bidi="en-CA"/>
        </w:rPr>
      </w:pPr>
      <w:sdt>
        <w:sdtPr>
          <w:rPr>
            <w:lang w:val="en-CA"/>
          </w:rPr>
          <w:id w:val="-1278246676"/>
          <w14:checkbox>
            <w14:checked w14:val="0"/>
            <w14:checkedState w14:val="2612" w14:font="MS Gothic"/>
            <w14:uncheckedState w14:val="2610" w14:font="MS Gothic"/>
          </w14:checkbox>
        </w:sdtPr>
        <w:sdtContent>
          <w:r w:rsidR="008C3877" w:rsidRPr="008C3877">
            <w:rPr>
              <w:rFonts w:ascii="MS Gothic" w:eastAsia="MS Gothic" w:hAnsi="MS Gothic" w:hint="eastAsia"/>
              <w:lang w:val="en-CA"/>
            </w:rPr>
            <w:t>☐</w:t>
          </w:r>
        </w:sdtContent>
      </w:sdt>
      <w:r w:rsidR="008C3877" w:rsidRPr="008C3877">
        <w:rPr>
          <w:rFonts w:eastAsia="Arial"/>
          <w:noProof/>
          <w:sz w:val="28"/>
          <w:szCs w:val="28"/>
          <w:lang w:val="en-CA" w:bidi="en-CA"/>
        </w:rPr>
        <w:t xml:space="preserve"> </w:t>
      </w:r>
      <w:r w:rsidR="00040FC9" w:rsidRPr="008C3877">
        <w:rPr>
          <w:rFonts w:eastAsia="Arial"/>
          <w:noProof/>
          <w:sz w:val="28"/>
          <w:szCs w:val="28"/>
          <w:lang w:val="en-CA" w:bidi="en-CA"/>
        </w:rPr>
        <w:t>Section 55 of the Act</w:t>
      </w:r>
    </w:p>
    <w:p w14:paraId="7D762D17" w14:textId="2086BC6A" w:rsidR="00040FC9" w:rsidRPr="008C3877" w:rsidRDefault="00000000" w:rsidP="006C442A">
      <w:pPr>
        <w:spacing w:after="120"/>
        <w:rPr>
          <w:rFonts w:eastAsia="Arial"/>
          <w:noProof/>
          <w:sz w:val="28"/>
          <w:szCs w:val="28"/>
          <w:lang w:val="en-CA" w:bidi="en-CA"/>
        </w:rPr>
      </w:pPr>
      <w:sdt>
        <w:sdtPr>
          <w:rPr>
            <w:lang w:val="en-CA"/>
          </w:rPr>
          <w:id w:val="-1681812733"/>
          <w14:checkbox>
            <w14:checked w14:val="0"/>
            <w14:checkedState w14:val="2612" w14:font="MS Gothic"/>
            <w14:uncheckedState w14:val="2610" w14:font="MS Gothic"/>
          </w14:checkbox>
        </w:sdtPr>
        <w:sdtContent>
          <w:r w:rsidR="008C3877" w:rsidRPr="008C3877">
            <w:rPr>
              <w:rFonts w:ascii="MS Gothic" w:eastAsia="MS Gothic" w:hAnsi="MS Gothic" w:hint="eastAsia"/>
              <w:lang w:val="en-CA"/>
            </w:rPr>
            <w:t>☐</w:t>
          </w:r>
        </w:sdtContent>
      </w:sdt>
      <w:r w:rsidR="008C3877" w:rsidRPr="008C3877">
        <w:rPr>
          <w:rFonts w:eastAsia="Arial"/>
          <w:noProof/>
          <w:sz w:val="28"/>
          <w:szCs w:val="28"/>
          <w:lang w:val="en-CA" w:bidi="en-CA"/>
        </w:rPr>
        <w:t xml:space="preserve"> </w:t>
      </w:r>
      <w:r w:rsidR="00040FC9" w:rsidRPr="008C3877">
        <w:rPr>
          <w:rFonts w:eastAsia="Arial"/>
          <w:noProof/>
          <w:sz w:val="28"/>
          <w:szCs w:val="28"/>
          <w:lang w:val="en-CA" w:bidi="en-CA"/>
        </w:rPr>
        <w:t>Section 94(1)(b) of the Act</w:t>
      </w:r>
    </w:p>
    <w:p w14:paraId="72F3D6CD" w14:textId="6BE8F3AB" w:rsidR="009D2266" w:rsidRDefault="00000000" w:rsidP="008C3877">
      <w:pPr>
        <w:rPr>
          <w:rFonts w:eastAsia="Arial"/>
          <w:noProof/>
          <w:sz w:val="28"/>
          <w:szCs w:val="28"/>
          <w:lang w:val="en-CA" w:bidi="en-CA"/>
        </w:rPr>
      </w:pPr>
      <w:sdt>
        <w:sdtPr>
          <w:rPr>
            <w:lang w:val="en-CA"/>
          </w:rPr>
          <w:id w:val="733435771"/>
          <w14:checkbox>
            <w14:checked w14:val="0"/>
            <w14:checkedState w14:val="2612" w14:font="MS Gothic"/>
            <w14:uncheckedState w14:val="2610" w14:font="MS Gothic"/>
          </w14:checkbox>
        </w:sdtPr>
        <w:sdtContent>
          <w:r w:rsidR="008C3877" w:rsidRPr="008C3877">
            <w:rPr>
              <w:rFonts w:ascii="MS Gothic" w:eastAsia="MS Gothic" w:hAnsi="MS Gothic" w:hint="eastAsia"/>
              <w:lang w:val="en-CA"/>
            </w:rPr>
            <w:t>☐</w:t>
          </w:r>
        </w:sdtContent>
      </w:sdt>
      <w:r w:rsidR="008C3877" w:rsidRPr="008C3877">
        <w:rPr>
          <w:noProof/>
          <w:lang w:val="en-CA" w:eastAsia="en-CA"/>
        </w:rPr>
        <w:t xml:space="preserve"> </w:t>
      </w:r>
      <w:r w:rsidR="00040FC9" w:rsidRPr="008C3877">
        <w:rPr>
          <w:rFonts w:eastAsia="Arial"/>
          <w:noProof/>
          <w:sz w:val="28"/>
          <w:szCs w:val="28"/>
          <w:lang w:val="en-CA" w:bidi="en-CA"/>
        </w:rPr>
        <w:t>Section 57(2) of the Act</w:t>
      </w:r>
    </w:p>
    <w:p w14:paraId="6E6C551E" w14:textId="1DF9D326" w:rsidR="00652358" w:rsidRPr="008C3877" w:rsidRDefault="00652358" w:rsidP="008C3877">
      <w:pPr>
        <w:rPr>
          <w:b/>
          <w:sz w:val="32"/>
          <w:lang w:val="en-CA"/>
        </w:rPr>
      </w:pPr>
    </w:p>
    <w:p w14:paraId="0C57009D" w14:textId="790DB88A" w:rsidR="0058390C" w:rsidRDefault="001D474B" w:rsidP="00C363F8">
      <w:pPr>
        <w:pStyle w:val="Heading2"/>
      </w:pPr>
      <w:r w:rsidRPr="00DB7B03">
        <w:lastRenderedPageBreak/>
        <w:t>Payment of increases in compensation</w:t>
      </w:r>
      <w:r w:rsidR="000200B0" w:rsidRPr="00DB7B03">
        <w:t xml:space="preserve"> </w:t>
      </w:r>
    </w:p>
    <w:p w14:paraId="01F319DC" w14:textId="77777777" w:rsidR="00652358" w:rsidRDefault="00652358" w:rsidP="00652358">
      <w:pPr>
        <w:rPr>
          <w:lang w:val="en-CA" w:bidi="en-CA"/>
        </w:rPr>
      </w:pPr>
    </w:p>
    <w:p w14:paraId="68C02495" w14:textId="22F167A9" w:rsidR="00652358" w:rsidRPr="00C363F8" w:rsidRDefault="00652358" w:rsidP="00652358">
      <w:pPr>
        <w:rPr>
          <w:b/>
          <w:sz w:val="28"/>
          <w:szCs w:val="28"/>
          <w:lang w:val="en-US"/>
        </w:rPr>
      </w:pPr>
      <w:r w:rsidRPr="00C363F8">
        <w:rPr>
          <w:b/>
          <w:sz w:val="28"/>
          <w:szCs w:val="28"/>
          <w:lang w:val="en-US"/>
        </w:rPr>
        <w:t xml:space="preserve">Date </w:t>
      </w:r>
      <w:r>
        <w:rPr>
          <w:b/>
          <w:sz w:val="28"/>
          <w:szCs w:val="28"/>
          <w:lang w:val="en-US"/>
        </w:rPr>
        <w:t xml:space="preserve">the </w:t>
      </w:r>
      <w:r w:rsidRPr="00C363F8">
        <w:rPr>
          <w:b/>
          <w:sz w:val="28"/>
          <w:szCs w:val="28"/>
          <w:lang w:val="en-US"/>
        </w:rPr>
        <w:t>final pay equity plan</w:t>
      </w:r>
      <w:r>
        <w:rPr>
          <w:b/>
          <w:sz w:val="28"/>
          <w:szCs w:val="28"/>
          <w:lang w:val="en-US"/>
        </w:rPr>
        <w:t xml:space="preserve"> was posted</w:t>
      </w:r>
      <w:r w:rsidRPr="00C363F8">
        <w:rPr>
          <w:b/>
          <w:sz w:val="28"/>
          <w:szCs w:val="28"/>
          <w:lang w:val="en-US"/>
        </w:rPr>
        <w:t xml:space="preserve">: </w:t>
      </w:r>
      <w:r>
        <w:rPr>
          <w:b/>
          <w:sz w:val="28"/>
          <w:szCs w:val="28"/>
          <w:lang w:val="en-US"/>
        </w:rPr>
        <w:t>[Insert date here]</w:t>
      </w:r>
    </w:p>
    <w:p w14:paraId="2E484963" w14:textId="77777777" w:rsidR="00652358" w:rsidRPr="00C363F8" w:rsidRDefault="00652358" w:rsidP="00652358">
      <w:pPr>
        <w:rPr>
          <w:b/>
          <w:sz w:val="28"/>
          <w:lang w:val="en-US"/>
        </w:rPr>
      </w:pPr>
    </w:p>
    <w:p w14:paraId="2634376E" w14:textId="6B8ADBC7" w:rsidR="00652358" w:rsidRPr="00C363F8" w:rsidRDefault="00652358" w:rsidP="00652358">
      <w:pPr>
        <w:rPr>
          <w:szCs w:val="22"/>
          <w:lang w:val="en-CA"/>
        </w:rPr>
      </w:pPr>
      <w:r w:rsidRPr="00C363F8">
        <w:rPr>
          <w:b/>
          <w:sz w:val="28"/>
          <w:lang w:val="en-CA"/>
        </w:rPr>
        <w:t xml:space="preserve">Increases in compensation are payable as of: </w:t>
      </w:r>
      <w:r>
        <w:rPr>
          <w:b/>
          <w:sz w:val="28"/>
          <w:szCs w:val="28"/>
          <w:lang w:val="en-US"/>
        </w:rPr>
        <w:t>[Insert date here]</w:t>
      </w:r>
    </w:p>
    <w:p w14:paraId="3C3F2FFB" w14:textId="77777777" w:rsidR="00652358" w:rsidRPr="00C363F8" w:rsidRDefault="00652358" w:rsidP="00652358">
      <w:pPr>
        <w:rPr>
          <w:b/>
          <w:sz w:val="28"/>
          <w:szCs w:val="28"/>
          <w:lang w:val="en-CA"/>
        </w:rPr>
      </w:pPr>
    </w:p>
    <w:p w14:paraId="5F2092CA" w14:textId="6AC8B0A8" w:rsidR="00652358" w:rsidRPr="00C363F8" w:rsidRDefault="00652358" w:rsidP="00652358">
      <w:pPr>
        <w:rPr>
          <w:b/>
          <w:sz w:val="28"/>
          <w:szCs w:val="28"/>
          <w:lang w:val="en-CA"/>
        </w:rPr>
      </w:pPr>
      <w:r w:rsidRPr="00C363F8">
        <w:rPr>
          <w:b/>
          <w:sz w:val="28"/>
          <w:szCs w:val="28"/>
          <w:lang w:val="en-CA"/>
        </w:rPr>
        <w:t xml:space="preserve">Lump sum </w:t>
      </w:r>
      <w:r w:rsidRPr="00E178EB">
        <w:rPr>
          <w:b/>
          <w:sz w:val="28"/>
          <w:szCs w:val="28"/>
          <w:lang w:val="en-CA"/>
        </w:rPr>
        <w:t xml:space="preserve">and interest </w:t>
      </w:r>
      <w:r w:rsidRPr="00C363F8">
        <w:rPr>
          <w:b/>
          <w:sz w:val="28"/>
          <w:szCs w:val="28"/>
          <w:lang w:val="en-CA"/>
        </w:rPr>
        <w:t xml:space="preserve">amounts (if applicable) are payable as of: </w:t>
      </w:r>
      <w:r>
        <w:rPr>
          <w:b/>
          <w:sz w:val="28"/>
          <w:szCs w:val="28"/>
          <w:lang w:val="en-US"/>
        </w:rPr>
        <w:t>[Insert date here]</w:t>
      </w:r>
    </w:p>
    <w:p w14:paraId="066C391E" w14:textId="77777777" w:rsidR="00652358" w:rsidRPr="001E4BE1" w:rsidRDefault="00652358" w:rsidP="001E4BE1">
      <w:pPr>
        <w:rPr>
          <w:b/>
          <w:lang w:val="en-CA"/>
        </w:rPr>
      </w:pPr>
    </w:p>
    <w:p w14:paraId="47DBB5AB" w14:textId="6645AC11" w:rsidR="009243D7" w:rsidRDefault="009243D7" w:rsidP="001335A9">
      <w:pPr>
        <w:rPr>
          <w:sz w:val="28"/>
          <w:szCs w:val="28"/>
          <w:lang w:val="en-CA"/>
        </w:rPr>
      </w:pPr>
    </w:p>
    <w:p w14:paraId="2F07190B" w14:textId="5BE4296C" w:rsidR="00A92D60" w:rsidRPr="00B76418" w:rsidRDefault="00FE4876" w:rsidP="00A92D60">
      <w:pPr>
        <w:rPr>
          <w:sz w:val="28"/>
          <w:szCs w:val="28"/>
          <w:lang w:val="en-CA"/>
        </w:rPr>
      </w:pPr>
      <w:r>
        <w:rPr>
          <w:sz w:val="28"/>
          <w:szCs w:val="28"/>
          <w:lang w:val="en-CA"/>
        </w:rPr>
        <w:t xml:space="preserve">Increases in compensation </w:t>
      </w:r>
      <w:r w:rsidR="00146D24">
        <w:rPr>
          <w:sz w:val="28"/>
          <w:szCs w:val="28"/>
          <w:lang w:val="en-CA"/>
        </w:rPr>
        <w:t>become payable the day after the posting of the final pay equity plan</w:t>
      </w:r>
      <w:r w:rsidR="002C281A">
        <w:rPr>
          <w:sz w:val="28"/>
          <w:szCs w:val="28"/>
          <w:lang w:val="en-CA"/>
        </w:rPr>
        <w:t xml:space="preserve"> [Act s. 61(1) and</w:t>
      </w:r>
      <w:r w:rsidR="004853E2">
        <w:rPr>
          <w:sz w:val="28"/>
          <w:szCs w:val="28"/>
          <w:lang w:val="en-CA"/>
        </w:rPr>
        <w:t xml:space="preserve"> 62(1)]. </w:t>
      </w:r>
    </w:p>
    <w:p w14:paraId="752F34BC" w14:textId="77777777" w:rsidR="00A92D60" w:rsidRDefault="00A92D60" w:rsidP="001335A9">
      <w:pPr>
        <w:rPr>
          <w:sz w:val="28"/>
          <w:szCs w:val="28"/>
          <w:lang w:val="en-CA"/>
        </w:rPr>
      </w:pPr>
    </w:p>
    <w:p w14:paraId="58F6459B" w14:textId="303B54B4" w:rsidR="00D628DC" w:rsidRDefault="005359FE" w:rsidP="00A92D60">
      <w:pPr>
        <w:rPr>
          <w:bCs/>
          <w:sz w:val="28"/>
          <w:szCs w:val="28"/>
          <w:lang w:val="en-US"/>
        </w:rPr>
      </w:pPr>
      <w:r w:rsidRPr="00BE2A51">
        <w:rPr>
          <w:sz w:val="28"/>
          <w:szCs w:val="28"/>
          <w:lang w:val="en-CA"/>
        </w:rPr>
        <w:t xml:space="preserve">Failure to pay any increase in compensation amounts </w:t>
      </w:r>
      <w:r w:rsidR="00DC79EC">
        <w:rPr>
          <w:sz w:val="28"/>
          <w:szCs w:val="28"/>
          <w:lang w:val="en-CA"/>
        </w:rPr>
        <w:t>on time</w:t>
      </w:r>
      <w:r w:rsidRPr="00BE2A51">
        <w:rPr>
          <w:sz w:val="28"/>
          <w:szCs w:val="28"/>
          <w:lang w:val="en-CA"/>
        </w:rPr>
        <w:t xml:space="preserve"> </w:t>
      </w:r>
      <w:r w:rsidRPr="007C6546">
        <w:rPr>
          <w:b/>
          <w:bCs/>
          <w:sz w:val="28"/>
          <w:szCs w:val="28"/>
          <w:lang w:val="en-CA"/>
        </w:rPr>
        <w:t>will result in interest accruing</w:t>
      </w:r>
      <w:r w:rsidRPr="000B01AA">
        <w:rPr>
          <w:bCs/>
          <w:sz w:val="28"/>
          <w:szCs w:val="28"/>
          <w:lang w:val="en-US"/>
        </w:rPr>
        <w:t>.</w:t>
      </w:r>
      <w:r>
        <w:rPr>
          <w:bCs/>
          <w:sz w:val="28"/>
          <w:szCs w:val="28"/>
          <w:lang w:val="en-US"/>
        </w:rPr>
        <w:t xml:space="preserve"> The interest is to be calculated and compounded daily at the aggregate of 2% annually </w:t>
      </w:r>
      <w:r>
        <w:rPr>
          <w:b/>
          <w:sz w:val="28"/>
          <w:szCs w:val="28"/>
          <w:lang w:val="en-US"/>
        </w:rPr>
        <w:t xml:space="preserve">and </w:t>
      </w:r>
      <w:r>
        <w:rPr>
          <w:bCs/>
          <w:sz w:val="28"/>
          <w:szCs w:val="28"/>
          <w:lang w:val="en-US"/>
        </w:rPr>
        <w:t xml:space="preserve">the bank rate in effect on the day for which the interest is calculated, for the period beginning on the first day after the day on which the amount was required to be paid and ending on the day on which the amount is paid [Act s. 97(1) and 97(2)]. </w:t>
      </w:r>
    </w:p>
    <w:p w14:paraId="2C74D455" w14:textId="77777777" w:rsidR="00CA3A79" w:rsidRDefault="00CA3A79" w:rsidP="00A92D60">
      <w:pPr>
        <w:rPr>
          <w:bCs/>
          <w:sz w:val="28"/>
          <w:szCs w:val="28"/>
          <w:lang w:val="en-US"/>
        </w:rPr>
      </w:pPr>
    </w:p>
    <w:p w14:paraId="1418D4F7" w14:textId="3718DE51" w:rsidR="00CA3A79" w:rsidRDefault="00CA3A79" w:rsidP="00A92D60">
      <w:pPr>
        <w:rPr>
          <w:bCs/>
          <w:sz w:val="28"/>
          <w:szCs w:val="28"/>
          <w:lang w:val="en-US"/>
        </w:rPr>
      </w:pPr>
      <w:r w:rsidRPr="00CA3A79">
        <w:rPr>
          <w:bCs/>
          <w:sz w:val="28"/>
          <w:szCs w:val="28"/>
          <w:lang w:val="en-US"/>
        </w:rPr>
        <w:t xml:space="preserve">The Act </w:t>
      </w:r>
      <w:r w:rsidRPr="00CA3A79">
        <w:rPr>
          <w:b/>
          <w:sz w:val="28"/>
          <w:szCs w:val="28"/>
          <w:lang w:val="en-US"/>
        </w:rPr>
        <w:t>does not</w:t>
      </w:r>
      <w:r w:rsidRPr="00CA3A79">
        <w:rPr>
          <w:bCs/>
          <w:sz w:val="28"/>
          <w:szCs w:val="28"/>
          <w:lang w:val="en-US"/>
        </w:rPr>
        <w:t xml:space="preserve"> provide the Pay Equity Commissioner with the power to </w:t>
      </w:r>
      <w:r w:rsidRPr="00CA3A79">
        <w:rPr>
          <w:b/>
          <w:sz w:val="28"/>
          <w:szCs w:val="28"/>
          <w:lang w:val="en-US"/>
        </w:rPr>
        <w:t>waive interest amounts</w:t>
      </w:r>
      <w:r w:rsidRPr="00CA3A79">
        <w:rPr>
          <w:bCs/>
          <w:sz w:val="28"/>
          <w:szCs w:val="28"/>
          <w:lang w:val="en-US"/>
        </w:rPr>
        <w:t xml:space="preserve"> or </w:t>
      </w:r>
      <w:r w:rsidRPr="00CA3A79">
        <w:rPr>
          <w:b/>
          <w:sz w:val="28"/>
          <w:szCs w:val="28"/>
          <w:lang w:val="en-US"/>
        </w:rPr>
        <w:t>extend the deadlines</w:t>
      </w:r>
      <w:r w:rsidRPr="00CA3A79">
        <w:rPr>
          <w:bCs/>
          <w:sz w:val="28"/>
          <w:szCs w:val="28"/>
          <w:lang w:val="en-US"/>
        </w:rPr>
        <w:t xml:space="preserve"> by which they must be paid.</w:t>
      </w:r>
    </w:p>
    <w:p w14:paraId="135F9495" w14:textId="77777777" w:rsidR="00DC79EC" w:rsidRDefault="00DC79EC" w:rsidP="001335A9">
      <w:pPr>
        <w:rPr>
          <w:sz w:val="28"/>
          <w:szCs w:val="28"/>
          <w:lang w:val="en-CA"/>
        </w:rPr>
      </w:pPr>
    </w:p>
    <w:p w14:paraId="52346648" w14:textId="17A943A1" w:rsidR="00D628DC" w:rsidRDefault="00D628DC" w:rsidP="00D628DC">
      <w:pPr>
        <w:rPr>
          <w:rFonts w:eastAsia="Arial"/>
          <w:bCs/>
          <w:noProof/>
          <w:sz w:val="28"/>
          <w:szCs w:val="28"/>
          <w:lang w:val="en-CA" w:bidi="en-CA"/>
        </w:rPr>
      </w:pPr>
      <w:bookmarkStart w:id="0" w:name="_Hlk152067417"/>
    </w:p>
    <w:p w14:paraId="0EBDF387" w14:textId="77777777" w:rsidR="00652358" w:rsidRDefault="00652358" w:rsidP="00D628DC">
      <w:pPr>
        <w:rPr>
          <w:rFonts w:eastAsia="Arial"/>
          <w:bCs/>
          <w:noProof/>
          <w:sz w:val="28"/>
          <w:szCs w:val="28"/>
          <w:lang w:val="en-CA" w:bidi="en-CA"/>
        </w:rPr>
      </w:pPr>
    </w:p>
    <w:p w14:paraId="268E5536" w14:textId="77777777" w:rsidR="00652358" w:rsidRDefault="00652358" w:rsidP="00D628DC">
      <w:pPr>
        <w:rPr>
          <w:rFonts w:eastAsia="Arial"/>
          <w:bCs/>
          <w:noProof/>
          <w:sz w:val="28"/>
          <w:szCs w:val="28"/>
          <w:lang w:val="en-CA" w:bidi="en-CA"/>
        </w:rPr>
      </w:pPr>
    </w:p>
    <w:p w14:paraId="67A7D858" w14:textId="77777777" w:rsidR="00652358" w:rsidRDefault="00652358" w:rsidP="00D628DC">
      <w:pPr>
        <w:rPr>
          <w:rFonts w:eastAsia="Arial"/>
          <w:bCs/>
          <w:noProof/>
          <w:sz w:val="28"/>
          <w:szCs w:val="28"/>
          <w:lang w:val="en-CA" w:bidi="en-CA"/>
        </w:rPr>
      </w:pPr>
    </w:p>
    <w:p w14:paraId="0FCBBBFD" w14:textId="77777777" w:rsidR="00652358" w:rsidRPr="00C363F8" w:rsidRDefault="00652358" w:rsidP="00D628DC">
      <w:pPr>
        <w:rPr>
          <w:rFonts w:eastAsia="Arial"/>
          <w:bCs/>
          <w:noProof/>
          <w:sz w:val="28"/>
          <w:szCs w:val="28"/>
          <w:lang w:val="en-CA" w:bidi="en-CA"/>
        </w:rPr>
      </w:pPr>
    </w:p>
    <w:p w14:paraId="584074D7" w14:textId="664423CA" w:rsidR="00A92D60" w:rsidRDefault="000F4D44" w:rsidP="000F4D44">
      <w:pPr>
        <w:tabs>
          <w:tab w:val="left" w:pos="7632"/>
        </w:tabs>
        <w:rPr>
          <w:rFonts w:eastAsia="Arial"/>
          <w:b/>
          <w:noProof/>
          <w:sz w:val="28"/>
          <w:szCs w:val="28"/>
          <w:lang w:val="en-CA" w:bidi="en-CA"/>
        </w:rPr>
      </w:pPr>
      <w:r>
        <w:rPr>
          <w:rFonts w:eastAsia="Arial"/>
          <w:b/>
          <w:noProof/>
          <w:sz w:val="28"/>
          <w:szCs w:val="28"/>
          <w:lang w:val="en-CA" w:bidi="en-CA"/>
        </w:rPr>
        <w:tab/>
      </w:r>
    </w:p>
    <w:bookmarkEnd w:id="0"/>
    <w:p w14:paraId="7826F6FB" w14:textId="285BC645" w:rsidR="00662520" w:rsidRPr="00DB7B03" w:rsidRDefault="00053B5F" w:rsidP="00DB7B03">
      <w:pPr>
        <w:pStyle w:val="Heading2"/>
      </w:pPr>
      <w:r w:rsidRPr="00DB7B03">
        <w:lastRenderedPageBreak/>
        <w:t>Predominantly female j</w:t>
      </w:r>
      <w:r w:rsidR="004D4D08" w:rsidRPr="00DB7B03">
        <w:t>ob</w:t>
      </w:r>
      <w:r w:rsidR="007B6B2D" w:rsidRPr="00DB7B03">
        <w:t xml:space="preserve"> c</w:t>
      </w:r>
      <w:r w:rsidR="00662520" w:rsidRPr="00DB7B03">
        <w:t>lasses owed increases</w:t>
      </w:r>
      <w:r w:rsidR="009B01CE" w:rsidRPr="00DB7B03">
        <w:t xml:space="preserve"> i</w:t>
      </w:r>
      <w:r w:rsidR="00662520" w:rsidRPr="00DB7B03">
        <w:t>n</w:t>
      </w:r>
      <w:r w:rsidR="009B01CE" w:rsidRPr="00DB7B03">
        <w:t xml:space="preserve"> </w:t>
      </w:r>
      <w:r w:rsidR="0058390C" w:rsidRPr="00DB7B03">
        <w:t>compensation</w:t>
      </w:r>
    </w:p>
    <w:p w14:paraId="5EFD8FAB" w14:textId="77777777" w:rsidR="000A738D" w:rsidRDefault="000A738D" w:rsidP="000A738D">
      <w:pPr>
        <w:rPr>
          <w:lang w:val="en-CA"/>
        </w:rPr>
      </w:pPr>
    </w:p>
    <w:p w14:paraId="25B7010E" w14:textId="10AF5314" w:rsidR="00A92D60" w:rsidRDefault="00A92D60" w:rsidP="000A738D">
      <w:pPr>
        <w:rPr>
          <w:sz w:val="28"/>
          <w:szCs w:val="28"/>
          <w:lang w:val="en-US"/>
        </w:rPr>
      </w:pPr>
      <w:bookmarkStart w:id="1" w:name="_Hlk152073376"/>
      <w:r w:rsidRPr="009243D7">
        <w:rPr>
          <w:sz w:val="28"/>
          <w:szCs w:val="28"/>
          <w:lang w:val="en-CA"/>
        </w:rPr>
        <w:t xml:space="preserve">[Directions: </w:t>
      </w:r>
      <w:r w:rsidRPr="00A92D60">
        <w:rPr>
          <w:sz w:val="28"/>
          <w:szCs w:val="28"/>
          <w:lang w:val="en-CA"/>
        </w:rPr>
        <w:t xml:space="preserve">Revise </w:t>
      </w:r>
      <w:r w:rsidR="003019B9">
        <w:rPr>
          <w:sz w:val="28"/>
          <w:szCs w:val="28"/>
          <w:lang w:val="en-CA"/>
        </w:rPr>
        <w:t xml:space="preserve">the </w:t>
      </w:r>
      <w:r w:rsidRPr="00A92D60">
        <w:rPr>
          <w:sz w:val="28"/>
          <w:szCs w:val="28"/>
          <w:lang w:val="en-CA"/>
        </w:rPr>
        <w:t>table</w:t>
      </w:r>
      <w:r w:rsidR="003019B9">
        <w:rPr>
          <w:sz w:val="28"/>
          <w:szCs w:val="28"/>
          <w:lang w:val="en-CA"/>
        </w:rPr>
        <w:t xml:space="preserve"> below</w:t>
      </w:r>
      <w:r w:rsidRPr="00A92D60">
        <w:rPr>
          <w:sz w:val="28"/>
          <w:szCs w:val="28"/>
          <w:lang w:val="en-CA"/>
        </w:rPr>
        <w:t xml:space="preserve"> to reflect your workplace. Rows can be added</w:t>
      </w:r>
      <w:r w:rsidRPr="00A92D60">
        <w:rPr>
          <w:sz w:val="28"/>
          <w:szCs w:val="28"/>
          <w:lang w:val="en-US"/>
        </w:rPr>
        <w:t>.]</w:t>
      </w:r>
    </w:p>
    <w:bookmarkEnd w:id="1"/>
    <w:p w14:paraId="4211BB96" w14:textId="77777777" w:rsidR="00A92D60" w:rsidRDefault="00A92D60" w:rsidP="000A738D">
      <w:pPr>
        <w:rPr>
          <w:sz w:val="28"/>
          <w:szCs w:val="28"/>
          <w:lang w:val="en-CA"/>
        </w:rPr>
      </w:pPr>
    </w:p>
    <w:p w14:paraId="7EA9DEFD" w14:textId="539425DE" w:rsidR="00EC0443" w:rsidRDefault="000A738D" w:rsidP="00662520">
      <w:pPr>
        <w:rPr>
          <w:sz w:val="28"/>
          <w:szCs w:val="28"/>
          <w:lang w:val="en-CA"/>
        </w:rPr>
      </w:pPr>
      <w:r w:rsidRPr="000A738D">
        <w:rPr>
          <w:sz w:val="28"/>
          <w:szCs w:val="28"/>
          <w:lang w:val="en-CA"/>
        </w:rPr>
        <w:t>The</w:t>
      </w:r>
      <w:r w:rsidR="003019B9">
        <w:rPr>
          <w:sz w:val="28"/>
          <w:szCs w:val="28"/>
          <w:lang w:val="en-CA"/>
        </w:rPr>
        <w:t xml:space="preserve"> following</w:t>
      </w:r>
      <w:r w:rsidRPr="000A738D">
        <w:rPr>
          <w:sz w:val="28"/>
          <w:szCs w:val="28"/>
          <w:lang w:val="en-CA"/>
        </w:rPr>
        <w:t xml:space="preserve"> table presents the predominantly female job classes eligible for an increase in compensation based on the pay equity analysis</w:t>
      </w:r>
      <w:r w:rsidR="00482B39">
        <w:rPr>
          <w:sz w:val="28"/>
          <w:szCs w:val="28"/>
          <w:lang w:val="en-CA"/>
        </w:rPr>
        <w:t xml:space="preserve"> in the final pay equity plan</w:t>
      </w:r>
      <w:r w:rsidRPr="000A738D">
        <w:rPr>
          <w:sz w:val="28"/>
          <w:szCs w:val="28"/>
          <w:lang w:val="en-CA"/>
        </w:rPr>
        <w:t>.</w:t>
      </w:r>
    </w:p>
    <w:p w14:paraId="4B6C9EEE" w14:textId="12F93D1B" w:rsidR="00662520" w:rsidRDefault="000A738D" w:rsidP="00662520">
      <w:pPr>
        <w:rPr>
          <w:lang w:val="en-CA"/>
        </w:rPr>
      </w:pPr>
      <w:r w:rsidRPr="000A738D">
        <w:rPr>
          <w:sz w:val="28"/>
          <w:szCs w:val="28"/>
          <w:lang w:val="en-CA"/>
        </w:rPr>
        <w:t xml:space="preserve"> </w:t>
      </w:r>
    </w:p>
    <w:p w14:paraId="403D54C7" w14:textId="36EB0A86" w:rsidR="00E215A9" w:rsidRPr="004D4D08" w:rsidRDefault="00E215A9" w:rsidP="00662520">
      <w:pPr>
        <w:jc w:val="center"/>
        <w:rPr>
          <w:b/>
          <w:sz w:val="28"/>
          <w:lang w:val="en-CA"/>
        </w:rPr>
        <w:sectPr w:rsidR="00E215A9" w:rsidRPr="004D4D08" w:rsidSect="00E215A9">
          <w:headerReference w:type="even" r:id="rId7"/>
          <w:footerReference w:type="even" r:id="rId8"/>
          <w:footerReference w:type="default" r:id="rId9"/>
          <w:headerReference w:type="first" r:id="rId10"/>
          <w:footerReference w:type="first" r:id="rId11"/>
          <w:type w:val="continuous"/>
          <w:pgSz w:w="15840" w:h="12240" w:orient="landscape" w:code="1"/>
          <w:pgMar w:top="1588" w:right="1701" w:bottom="1588" w:left="1440" w:header="284" w:footer="96" w:gutter="0"/>
          <w:cols w:space="708"/>
          <w:docGrid w:linePitch="360"/>
        </w:sectPr>
      </w:pPr>
    </w:p>
    <w:tbl>
      <w:tblPr>
        <w:tblStyle w:val="TableGrid"/>
        <w:tblW w:w="0" w:type="auto"/>
        <w:tblLook w:val="04A0" w:firstRow="1" w:lastRow="0" w:firstColumn="1" w:lastColumn="0" w:noHBand="0" w:noVBand="1"/>
      </w:tblPr>
      <w:tblGrid>
        <w:gridCol w:w="4184"/>
        <w:gridCol w:w="2978"/>
        <w:gridCol w:w="2902"/>
        <w:gridCol w:w="2625"/>
      </w:tblGrid>
      <w:tr w:rsidR="00080A88" w:rsidRPr="00EC0443" w14:paraId="5249783E" w14:textId="074BB2B6" w:rsidTr="00EC0443">
        <w:trPr>
          <w:trHeight w:val="553"/>
        </w:trPr>
        <w:tc>
          <w:tcPr>
            <w:tcW w:w="4184" w:type="dxa"/>
            <w:shd w:val="clear" w:color="auto" w:fill="DEEAF6" w:themeFill="accent1" w:themeFillTint="33"/>
            <w:vAlign w:val="center"/>
          </w:tcPr>
          <w:p w14:paraId="161F1CD4" w14:textId="65B4B73F" w:rsidR="00080A88" w:rsidRPr="004D4D08" w:rsidRDefault="00080A88" w:rsidP="003666EC">
            <w:pPr>
              <w:jc w:val="center"/>
              <w:rPr>
                <w:b/>
                <w:sz w:val="28"/>
                <w:lang w:val="en-CA"/>
              </w:rPr>
            </w:pPr>
            <w:r w:rsidRPr="004D4D08">
              <w:rPr>
                <w:b/>
                <w:sz w:val="28"/>
                <w:lang w:val="en-CA"/>
              </w:rPr>
              <w:t>Job class</w:t>
            </w:r>
          </w:p>
        </w:tc>
        <w:tc>
          <w:tcPr>
            <w:tcW w:w="2978" w:type="dxa"/>
            <w:shd w:val="clear" w:color="auto" w:fill="DEEAF6" w:themeFill="accent1" w:themeFillTint="33"/>
            <w:vAlign w:val="center"/>
          </w:tcPr>
          <w:p w14:paraId="5B2CB19F" w14:textId="231FBE5F" w:rsidR="00080A88" w:rsidRPr="004D4D08" w:rsidRDefault="00080A88" w:rsidP="003666EC">
            <w:pPr>
              <w:jc w:val="center"/>
              <w:rPr>
                <w:b/>
                <w:sz w:val="28"/>
                <w:lang w:val="en-CA"/>
              </w:rPr>
            </w:pPr>
            <w:r w:rsidRPr="00AA6C81">
              <w:rPr>
                <w:b/>
                <w:sz w:val="28"/>
                <w:lang w:val="en-CA"/>
              </w:rPr>
              <w:t>Number of employees in job class</w:t>
            </w:r>
          </w:p>
        </w:tc>
        <w:tc>
          <w:tcPr>
            <w:tcW w:w="2902" w:type="dxa"/>
            <w:shd w:val="clear" w:color="auto" w:fill="DEEAF6" w:themeFill="accent1" w:themeFillTint="33"/>
            <w:vAlign w:val="center"/>
          </w:tcPr>
          <w:p w14:paraId="7C449DB1" w14:textId="6AE7E192" w:rsidR="00080A88" w:rsidRPr="00AA6C81" w:rsidRDefault="00080A88" w:rsidP="003666EC">
            <w:pPr>
              <w:jc w:val="center"/>
              <w:rPr>
                <w:b/>
                <w:sz w:val="28"/>
                <w:lang w:val="en-CA"/>
              </w:rPr>
            </w:pPr>
            <w:r w:rsidRPr="00AA6C81">
              <w:rPr>
                <w:b/>
                <w:sz w:val="28"/>
                <w:lang w:val="en-CA"/>
              </w:rPr>
              <w:t>Hourly increase owed ($)</w:t>
            </w:r>
          </w:p>
        </w:tc>
        <w:tc>
          <w:tcPr>
            <w:tcW w:w="2625" w:type="dxa"/>
            <w:shd w:val="clear" w:color="auto" w:fill="DEEAF6" w:themeFill="accent1" w:themeFillTint="33"/>
            <w:vAlign w:val="center"/>
          </w:tcPr>
          <w:p w14:paraId="7E13B5F2" w14:textId="2720F820" w:rsidR="00080A88" w:rsidRPr="00AA6C81" w:rsidRDefault="003666EC" w:rsidP="003666EC">
            <w:pPr>
              <w:jc w:val="center"/>
              <w:rPr>
                <w:b/>
                <w:sz w:val="28"/>
                <w:lang w:val="en-CA"/>
              </w:rPr>
            </w:pPr>
            <w:r>
              <w:rPr>
                <w:b/>
                <w:sz w:val="28"/>
                <w:lang w:val="en-CA"/>
              </w:rPr>
              <w:t>Total owed</w:t>
            </w:r>
            <w:r w:rsidR="00080A88">
              <w:rPr>
                <w:b/>
                <w:sz w:val="28"/>
                <w:lang w:val="en-CA"/>
              </w:rPr>
              <w:t xml:space="preserve"> ($)</w:t>
            </w:r>
          </w:p>
        </w:tc>
      </w:tr>
      <w:tr w:rsidR="00080A88" w:rsidRPr="00EC0443" w14:paraId="218D5D40" w14:textId="55381034" w:rsidTr="00EC0443">
        <w:trPr>
          <w:trHeight w:val="529"/>
        </w:trPr>
        <w:tc>
          <w:tcPr>
            <w:tcW w:w="4184" w:type="dxa"/>
          </w:tcPr>
          <w:p w14:paraId="6796B3E5" w14:textId="19DE2A30" w:rsidR="00080A88" w:rsidRDefault="00080A88" w:rsidP="002645CE">
            <w:pPr>
              <w:rPr>
                <w:lang w:val="en-CA"/>
              </w:rPr>
            </w:pPr>
            <w:r>
              <w:rPr>
                <w:lang w:val="en-CA"/>
              </w:rPr>
              <w:t xml:space="preserve"> </w:t>
            </w:r>
          </w:p>
        </w:tc>
        <w:tc>
          <w:tcPr>
            <w:tcW w:w="2978" w:type="dxa"/>
            <w:vAlign w:val="center"/>
          </w:tcPr>
          <w:p w14:paraId="0FD6F5DE" w14:textId="24F76506" w:rsidR="00080A88" w:rsidRDefault="00080A88" w:rsidP="002645CE">
            <w:pPr>
              <w:rPr>
                <w:lang w:val="en-CA"/>
              </w:rPr>
            </w:pPr>
          </w:p>
        </w:tc>
        <w:tc>
          <w:tcPr>
            <w:tcW w:w="2902" w:type="dxa"/>
          </w:tcPr>
          <w:p w14:paraId="32564320" w14:textId="77777777" w:rsidR="00080A88" w:rsidRPr="00AA6C81" w:rsidRDefault="00080A88" w:rsidP="002645CE">
            <w:pPr>
              <w:rPr>
                <w:b/>
                <w:sz w:val="28"/>
                <w:lang w:val="en-CA"/>
              </w:rPr>
            </w:pPr>
          </w:p>
        </w:tc>
        <w:tc>
          <w:tcPr>
            <w:tcW w:w="2625" w:type="dxa"/>
          </w:tcPr>
          <w:p w14:paraId="62D28E81" w14:textId="2196ED92" w:rsidR="00080A88" w:rsidRPr="00AA6C81" w:rsidRDefault="00080A88" w:rsidP="002645CE">
            <w:pPr>
              <w:rPr>
                <w:b/>
                <w:sz w:val="28"/>
                <w:lang w:val="en-CA"/>
              </w:rPr>
            </w:pPr>
          </w:p>
        </w:tc>
      </w:tr>
      <w:tr w:rsidR="00080A88" w:rsidRPr="00EC0443" w14:paraId="254F1AAD" w14:textId="42B1CF1E" w:rsidTr="00EC0443">
        <w:trPr>
          <w:trHeight w:val="511"/>
        </w:trPr>
        <w:tc>
          <w:tcPr>
            <w:tcW w:w="4184" w:type="dxa"/>
          </w:tcPr>
          <w:p w14:paraId="473F2A81" w14:textId="77777777" w:rsidR="00080A88" w:rsidRDefault="00080A88" w:rsidP="002645CE">
            <w:pPr>
              <w:rPr>
                <w:lang w:val="en-CA"/>
              </w:rPr>
            </w:pPr>
          </w:p>
        </w:tc>
        <w:tc>
          <w:tcPr>
            <w:tcW w:w="2978" w:type="dxa"/>
            <w:vAlign w:val="center"/>
          </w:tcPr>
          <w:p w14:paraId="3AF43588" w14:textId="6F7C1D58" w:rsidR="00080A88" w:rsidRDefault="00080A88" w:rsidP="002645CE">
            <w:pPr>
              <w:rPr>
                <w:lang w:val="en-CA"/>
              </w:rPr>
            </w:pPr>
          </w:p>
        </w:tc>
        <w:tc>
          <w:tcPr>
            <w:tcW w:w="2902" w:type="dxa"/>
          </w:tcPr>
          <w:p w14:paraId="4256A5F8" w14:textId="77777777" w:rsidR="00080A88" w:rsidRPr="00AA6C81" w:rsidRDefault="00080A88" w:rsidP="002645CE">
            <w:pPr>
              <w:rPr>
                <w:b/>
                <w:sz w:val="28"/>
                <w:lang w:val="en-CA"/>
              </w:rPr>
            </w:pPr>
          </w:p>
        </w:tc>
        <w:tc>
          <w:tcPr>
            <w:tcW w:w="2625" w:type="dxa"/>
          </w:tcPr>
          <w:p w14:paraId="3A638D16" w14:textId="77777777" w:rsidR="00080A88" w:rsidRPr="00AA6C81" w:rsidRDefault="00080A88" w:rsidP="002645CE">
            <w:pPr>
              <w:rPr>
                <w:b/>
                <w:sz w:val="28"/>
                <w:lang w:val="en-CA"/>
              </w:rPr>
            </w:pPr>
          </w:p>
        </w:tc>
      </w:tr>
      <w:tr w:rsidR="00080A88" w:rsidRPr="00EC0443" w14:paraId="79D62BD0" w14:textId="18286102" w:rsidTr="00EC0443">
        <w:trPr>
          <w:trHeight w:val="511"/>
        </w:trPr>
        <w:tc>
          <w:tcPr>
            <w:tcW w:w="4184" w:type="dxa"/>
          </w:tcPr>
          <w:p w14:paraId="5087929A" w14:textId="77777777" w:rsidR="00080A88" w:rsidRDefault="00080A88" w:rsidP="002645CE">
            <w:pPr>
              <w:rPr>
                <w:lang w:val="en-CA"/>
              </w:rPr>
            </w:pPr>
          </w:p>
        </w:tc>
        <w:tc>
          <w:tcPr>
            <w:tcW w:w="2978" w:type="dxa"/>
            <w:vAlign w:val="center"/>
          </w:tcPr>
          <w:p w14:paraId="7C0FF84E" w14:textId="77777777" w:rsidR="00080A88" w:rsidRDefault="00080A88" w:rsidP="002645CE">
            <w:pPr>
              <w:rPr>
                <w:lang w:val="en-CA"/>
              </w:rPr>
            </w:pPr>
          </w:p>
        </w:tc>
        <w:tc>
          <w:tcPr>
            <w:tcW w:w="2902" w:type="dxa"/>
          </w:tcPr>
          <w:p w14:paraId="0BB5CACA" w14:textId="77777777" w:rsidR="00080A88" w:rsidRPr="00AA6C81" w:rsidRDefault="00080A88" w:rsidP="002645CE">
            <w:pPr>
              <w:rPr>
                <w:b/>
                <w:sz w:val="28"/>
                <w:lang w:val="en-CA"/>
              </w:rPr>
            </w:pPr>
          </w:p>
        </w:tc>
        <w:tc>
          <w:tcPr>
            <w:tcW w:w="2625" w:type="dxa"/>
          </w:tcPr>
          <w:p w14:paraId="601E3F4C" w14:textId="77777777" w:rsidR="00080A88" w:rsidRPr="00AA6C81" w:rsidRDefault="00080A88" w:rsidP="002645CE">
            <w:pPr>
              <w:rPr>
                <w:b/>
                <w:sz w:val="28"/>
                <w:lang w:val="en-CA"/>
              </w:rPr>
            </w:pPr>
          </w:p>
        </w:tc>
      </w:tr>
    </w:tbl>
    <w:p w14:paraId="3229BA06" w14:textId="77777777" w:rsidR="00E215A9" w:rsidRPr="004D4D08" w:rsidRDefault="00E215A9" w:rsidP="001335A9">
      <w:pPr>
        <w:rPr>
          <w:b/>
          <w:sz w:val="28"/>
          <w:lang w:val="en-CA"/>
        </w:rPr>
      </w:pPr>
    </w:p>
    <w:tbl>
      <w:tblPr>
        <w:tblStyle w:val="TableGrid"/>
        <w:tblW w:w="0" w:type="auto"/>
        <w:tblLook w:val="04A0" w:firstRow="1" w:lastRow="0" w:firstColumn="1" w:lastColumn="0" w:noHBand="0" w:noVBand="1"/>
      </w:tblPr>
      <w:tblGrid>
        <w:gridCol w:w="12689"/>
      </w:tblGrid>
      <w:tr w:rsidR="000F3844" w14:paraId="13AC94A3" w14:textId="77777777" w:rsidTr="000F3844">
        <w:tc>
          <w:tcPr>
            <w:tcW w:w="12689" w:type="dxa"/>
          </w:tcPr>
          <w:p w14:paraId="676B1FB7" w14:textId="4E27BF1F" w:rsidR="000F3844" w:rsidRDefault="000F3844" w:rsidP="007C6546">
            <w:pPr>
              <w:pStyle w:val="Heading2"/>
              <w:spacing w:after="240"/>
              <w:rPr>
                <w:rFonts w:eastAsia="Times New Roman" w:cs="Arial"/>
                <w:b w:val="0"/>
                <w:noProof w:val="0"/>
                <w:sz w:val="28"/>
                <w:szCs w:val="28"/>
                <w:lang w:bidi="ar-SA"/>
              </w:rPr>
            </w:pPr>
            <w:r>
              <w:rPr>
                <w:sz w:val="28"/>
              </w:rPr>
              <w:t>Total for all employees ($)</w:t>
            </w:r>
            <w:r>
              <w:rPr>
                <w:sz w:val="28"/>
              </w:rPr>
              <w:t xml:space="preserve"> = </w:t>
            </w:r>
          </w:p>
        </w:tc>
      </w:tr>
    </w:tbl>
    <w:p w14:paraId="59A3A000" w14:textId="77777777" w:rsidR="00E178EB" w:rsidRDefault="00E178EB" w:rsidP="007C6546">
      <w:pPr>
        <w:pStyle w:val="Heading2"/>
        <w:spacing w:after="240"/>
        <w:rPr>
          <w:rFonts w:eastAsia="Times New Roman" w:cs="Arial"/>
          <w:b w:val="0"/>
          <w:noProof w:val="0"/>
          <w:sz w:val="28"/>
          <w:szCs w:val="28"/>
          <w:lang w:bidi="ar-SA"/>
        </w:rPr>
      </w:pPr>
    </w:p>
    <w:tbl>
      <w:tblPr>
        <w:tblStyle w:val="TableGrid"/>
        <w:tblW w:w="0" w:type="auto"/>
        <w:tblLook w:val="04A0" w:firstRow="1" w:lastRow="0" w:firstColumn="1" w:lastColumn="0" w:noHBand="0" w:noVBand="1"/>
      </w:tblPr>
      <w:tblGrid>
        <w:gridCol w:w="12689"/>
      </w:tblGrid>
      <w:tr w:rsidR="000F3844" w14:paraId="366D82B7" w14:textId="77777777" w:rsidTr="000F3844">
        <w:tc>
          <w:tcPr>
            <w:tcW w:w="12689" w:type="dxa"/>
          </w:tcPr>
          <w:p w14:paraId="54300094" w14:textId="77777777" w:rsidR="000F3844" w:rsidRDefault="000F3844" w:rsidP="000F3844">
            <w:pPr>
              <w:rPr>
                <w:b/>
                <w:sz w:val="28"/>
                <w:lang w:val="en-CA"/>
              </w:rPr>
            </w:pPr>
            <w:r>
              <w:rPr>
                <w:b/>
                <w:sz w:val="28"/>
                <w:lang w:val="en-CA"/>
              </w:rPr>
              <w:t>Percentage of annual payroll from previous year</w:t>
            </w:r>
            <w:r>
              <w:rPr>
                <w:b/>
                <w:sz w:val="28"/>
                <w:lang w:val="en-CA"/>
              </w:rPr>
              <w:t xml:space="preserve"> = </w:t>
            </w:r>
          </w:p>
          <w:p w14:paraId="702E2C7C" w14:textId="2630A29E" w:rsidR="000F3844" w:rsidRDefault="000F3844" w:rsidP="000F3844">
            <w:pPr>
              <w:rPr>
                <w:lang w:val="en-CA"/>
              </w:rPr>
            </w:pPr>
          </w:p>
        </w:tc>
      </w:tr>
    </w:tbl>
    <w:p w14:paraId="48244BB5" w14:textId="77777777" w:rsidR="000F3844" w:rsidRPr="000F3844" w:rsidRDefault="000F3844" w:rsidP="000F3844">
      <w:pPr>
        <w:rPr>
          <w:lang w:val="en-CA"/>
        </w:rPr>
      </w:pPr>
    </w:p>
    <w:p w14:paraId="7FF805D4" w14:textId="77777777" w:rsidR="00E178EB" w:rsidRDefault="00E178EB" w:rsidP="00E178EB">
      <w:pPr>
        <w:rPr>
          <w:lang w:val="en-CA"/>
        </w:rPr>
      </w:pPr>
    </w:p>
    <w:p w14:paraId="5C38BE7D" w14:textId="77777777" w:rsidR="00E178EB" w:rsidRDefault="00E178EB" w:rsidP="00E178EB">
      <w:pPr>
        <w:rPr>
          <w:lang w:val="en-CA"/>
        </w:rPr>
      </w:pPr>
    </w:p>
    <w:p w14:paraId="73DF9C6E" w14:textId="77777777" w:rsidR="00E178EB" w:rsidRDefault="00E178EB" w:rsidP="00E178EB">
      <w:pPr>
        <w:rPr>
          <w:lang w:val="en-CA"/>
        </w:rPr>
      </w:pPr>
    </w:p>
    <w:p w14:paraId="0BA6265D" w14:textId="77777777" w:rsidR="00E178EB" w:rsidRDefault="00E178EB" w:rsidP="00E178EB">
      <w:pPr>
        <w:rPr>
          <w:lang w:val="en-CA"/>
        </w:rPr>
      </w:pPr>
    </w:p>
    <w:p w14:paraId="4A2B6067" w14:textId="77777777" w:rsidR="00E178EB" w:rsidRDefault="00E178EB" w:rsidP="00E178EB">
      <w:pPr>
        <w:rPr>
          <w:lang w:val="en-CA"/>
        </w:rPr>
      </w:pPr>
    </w:p>
    <w:p w14:paraId="78CB7E1E" w14:textId="77777777" w:rsidR="00E178EB" w:rsidRDefault="00E178EB" w:rsidP="00E178EB">
      <w:pPr>
        <w:rPr>
          <w:lang w:val="en-CA"/>
        </w:rPr>
      </w:pPr>
    </w:p>
    <w:p w14:paraId="5E7CDAB7" w14:textId="77777777" w:rsidR="00E178EB" w:rsidRDefault="00E178EB" w:rsidP="00E178EB">
      <w:pPr>
        <w:rPr>
          <w:lang w:val="en-CA"/>
        </w:rPr>
      </w:pPr>
    </w:p>
    <w:p w14:paraId="7596D97A" w14:textId="77777777" w:rsidR="00E178EB" w:rsidRDefault="00E178EB" w:rsidP="00E178EB">
      <w:pPr>
        <w:rPr>
          <w:lang w:val="en-CA"/>
        </w:rPr>
      </w:pPr>
    </w:p>
    <w:p w14:paraId="73AB940D" w14:textId="207E6583" w:rsidR="007C6546" w:rsidRPr="007C6546" w:rsidRDefault="00F63F3C" w:rsidP="00DB7B03">
      <w:pPr>
        <w:pStyle w:val="Heading2"/>
      </w:pPr>
      <w:bookmarkStart w:id="3" w:name="_Hlk152073252"/>
      <w:r>
        <w:t>P</w:t>
      </w:r>
      <w:r w:rsidR="007C6546" w:rsidRPr="007C6546">
        <w:t>hasing</w:t>
      </w:r>
      <w:r w:rsidR="003019B9">
        <w:t xml:space="preserve"> </w:t>
      </w:r>
      <w:r w:rsidR="007C6546" w:rsidRPr="007C6546">
        <w:t>in increases in compensation</w:t>
      </w:r>
      <w:r w:rsidR="00482B39">
        <w:t xml:space="preserve"> [Remove </w:t>
      </w:r>
      <w:r w:rsidR="001E569C">
        <w:t>if not applicable]</w:t>
      </w:r>
    </w:p>
    <w:p w14:paraId="185BBE58" w14:textId="77777777" w:rsidR="007C6546" w:rsidRDefault="007C6546" w:rsidP="007C6546">
      <w:pPr>
        <w:rPr>
          <w:b/>
          <w:sz w:val="28"/>
          <w:szCs w:val="28"/>
          <w:lang w:val="en-CA"/>
        </w:rPr>
      </w:pPr>
    </w:p>
    <w:p w14:paraId="11B07C1F" w14:textId="65AC34ED" w:rsidR="007C6546" w:rsidRDefault="00080A88" w:rsidP="00BB3680">
      <w:pPr>
        <w:rPr>
          <w:bCs/>
          <w:sz w:val="28"/>
          <w:szCs w:val="28"/>
          <w:lang w:val="en-CA"/>
        </w:rPr>
      </w:pPr>
      <w:r>
        <w:rPr>
          <w:bCs/>
          <w:sz w:val="28"/>
          <w:szCs w:val="28"/>
          <w:lang w:val="en-CA"/>
        </w:rPr>
        <w:t xml:space="preserve">If </w:t>
      </w:r>
      <w:r w:rsidR="007C6546">
        <w:rPr>
          <w:bCs/>
          <w:sz w:val="28"/>
          <w:szCs w:val="28"/>
          <w:lang w:val="en-CA"/>
        </w:rPr>
        <w:t xml:space="preserve">the increases in compensation due represent more than 1% of the total payroll for the previous year, the </w:t>
      </w:r>
      <w:r w:rsidR="003437B3">
        <w:rPr>
          <w:bCs/>
          <w:sz w:val="28"/>
          <w:szCs w:val="28"/>
          <w:lang w:val="en-CA"/>
        </w:rPr>
        <w:t xml:space="preserve">employer may choose to phase in </w:t>
      </w:r>
      <w:r w:rsidR="007C6546">
        <w:rPr>
          <w:bCs/>
          <w:sz w:val="28"/>
          <w:szCs w:val="28"/>
          <w:lang w:val="en-CA"/>
        </w:rPr>
        <w:t>payment of these increases [Act s.</w:t>
      </w:r>
      <w:r w:rsidR="00953EAC">
        <w:rPr>
          <w:bCs/>
          <w:sz w:val="28"/>
          <w:szCs w:val="28"/>
          <w:lang w:val="en-CA"/>
        </w:rPr>
        <w:t xml:space="preserve"> </w:t>
      </w:r>
      <w:r w:rsidR="007C6546">
        <w:rPr>
          <w:bCs/>
          <w:sz w:val="28"/>
          <w:szCs w:val="28"/>
          <w:lang w:val="en-CA"/>
        </w:rPr>
        <w:t xml:space="preserve">61(2)]. </w:t>
      </w:r>
      <w:bookmarkEnd w:id="3"/>
      <w:r w:rsidR="003C37F4">
        <w:rPr>
          <w:bCs/>
          <w:sz w:val="28"/>
          <w:szCs w:val="28"/>
          <w:lang w:val="en-CA"/>
        </w:rPr>
        <w:t>[Select those that apply by using the check boxes below]</w:t>
      </w:r>
    </w:p>
    <w:p w14:paraId="5F0BE510" w14:textId="77777777" w:rsidR="005E21AE" w:rsidRDefault="005E21AE" w:rsidP="00BB3680">
      <w:pPr>
        <w:rPr>
          <w:bCs/>
          <w:sz w:val="28"/>
          <w:szCs w:val="28"/>
          <w:lang w:val="en-CA"/>
        </w:rPr>
      </w:pPr>
    </w:p>
    <w:bookmarkStart w:id="4" w:name="_Hlk169517824"/>
    <w:bookmarkStart w:id="5" w:name="_Hlk169251980"/>
    <w:p w14:paraId="075147CD" w14:textId="4131E96F" w:rsidR="005E21AE" w:rsidRDefault="00000000" w:rsidP="005E21AE">
      <w:pPr>
        <w:rPr>
          <w:bCs/>
          <w:sz w:val="28"/>
          <w:szCs w:val="28"/>
          <w:lang w:val="en-CA"/>
        </w:rPr>
      </w:pPr>
      <w:sdt>
        <w:sdtPr>
          <w:rPr>
            <w:lang w:val="en-CA"/>
          </w:rPr>
          <w:id w:val="-770469900"/>
          <w14:checkbox>
            <w14:checked w14:val="0"/>
            <w14:checkedState w14:val="2612" w14:font="MS Gothic"/>
            <w14:uncheckedState w14:val="2610" w14:font="MS Gothic"/>
          </w14:checkbox>
        </w:sdtPr>
        <w:sdtContent>
          <w:r w:rsidR="00162715">
            <w:rPr>
              <w:rFonts w:ascii="MS Gothic" w:eastAsia="MS Gothic" w:hAnsi="MS Gothic" w:hint="eastAsia"/>
              <w:lang w:val="en-CA"/>
            </w:rPr>
            <w:t>☐</w:t>
          </w:r>
        </w:sdtContent>
      </w:sdt>
      <w:bookmarkEnd w:id="4"/>
      <w:r w:rsidR="005E21AE" w:rsidRPr="008C3877">
        <w:rPr>
          <w:rFonts w:eastAsia="Arial"/>
          <w:noProof/>
          <w:sz w:val="28"/>
          <w:szCs w:val="28"/>
          <w:lang w:val="en-CA" w:bidi="en-CA"/>
        </w:rPr>
        <w:t xml:space="preserve"> </w:t>
      </w:r>
      <w:r w:rsidR="005E21AE">
        <w:rPr>
          <w:bCs/>
          <w:sz w:val="28"/>
          <w:szCs w:val="28"/>
          <w:lang w:val="en-CA"/>
        </w:rPr>
        <w:t xml:space="preserve">The total increases in compensation owed represent more than 1% of the total payroll for the previous fiscal or calendar year and I have decided to phase in these increases in compensation. </w:t>
      </w:r>
    </w:p>
    <w:bookmarkEnd w:id="5"/>
    <w:p w14:paraId="7C9E6E16" w14:textId="77777777" w:rsidR="003C37F4" w:rsidRDefault="003C37F4" w:rsidP="00BB3680">
      <w:pPr>
        <w:rPr>
          <w:bCs/>
          <w:sz w:val="28"/>
          <w:szCs w:val="28"/>
          <w:lang w:val="en-CA"/>
        </w:rPr>
      </w:pPr>
    </w:p>
    <w:p w14:paraId="4851478C" w14:textId="77777777" w:rsidR="003C37F4" w:rsidRPr="00FD22C6" w:rsidRDefault="00000000" w:rsidP="003C37F4">
      <w:pPr>
        <w:rPr>
          <w:bCs/>
          <w:sz w:val="28"/>
          <w:szCs w:val="28"/>
          <w:lang w:val="en-CA"/>
        </w:rPr>
      </w:pPr>
      <w:sdt>
        <w:sdtPr>
          <w:rPr>
            <w:lang w:val="en-CA"/>
          </w:rPr>
          <w:id w:val="1507098695"/>
          <w14:checkbox>
            <w14:checked w14:val="0"/>
            <w14:checkedState w14:val="2612" w14:font="MS Gothic"/>
            <w14:uncheckedState w14:val="2610" w14:font="MS Gothic"/>
          </w14:checkbox>
        </w:sdtPr>
        <w:sdtContent>
          <w:r w:rsidR="003C37F4" w:rsidRPr="008C3877">
            <w:rPr>
              <w:rFonts w:ascii="MS Gothic" w:eastAsia="MS Gothic" w:hAnsi="MS Gothic" w:hint="eastAsia"/>
              <w:lang w:val="en-CA"/>
            </w:rPr>
            <w:t>☐</w:t>
          </w:r>
        </w:sdtContent>
      </w:sdt>
      <w:r w:rsidR="003C37F4" w:rsidRPr="008C3877">
        <w:rPr>
          <w:rFonts w:eastAsia="Arial"/>
          <w:noProof/>
          <w:sz w:val="28"/>
          <w:szCs w:val="28"/>
          <w:lang w:val="en-CA" w:bidi="en-CA"/>
        </w:rPr>
        <w:t xml:space="preserve"> </w:t>
      </w:r>
      <w:r w:rsidR="003C37F4">
        <w:rPr>
          <w:bCs/>
          <w:sz w:val="28"/>
          <w:szCs w:val="28"/>
          <w:lang w:val="en-CA"/>
        </w:rPr>
        <w:t>A Schedule of Increases for this phase-in period will be provided in a separate posting.</w:t>
      </w:r>
    </w:p>
    <w:p w14:paraId="6A833793" w14:textId="77777777" w:rsidR="005E21AE" w:rsidRDefault="005E21AE" w:rsidP="00BB3680">
      <w:pPr>
        <w:rPr>
          <w:bCs/>
          <w:sz w:val="28"/>
          <w:szCs w:val="28"/>
          <w:lang w:val="en-CA"/>
        </w:rPr>
      </w:pPr>
    </w:p>
    <w:p w14:paraId="1F40E271" w14:textId="77777777" w:rsidR="005E21AE" w:rsidRDefault="005E21AE" w:rsidP="005E21AE">
      <w:pPr>
        <w:rPr>
          <w:bCs/>
          <w:sz w:val="28"/>
          <w:szCs w:val="28"/>
          <w:lang w:val="en-CA"/>
        </w:rPr>
      </w:pPr>
    </w:p>
    <w:p w14:paraId="72A0608A" w14:textId="77777777" w:rsidR="005E21AE" w:rsidRPr="00C363F8" w:rsidRDefault="005E21AE" w:rsidP="00BB3680">
      <w:pPr>
        <w:rPr>
          <w:sz w:val="28"/>
          <w:szCs w:val="28"/>
          <w:lang w:val="en-CA"/>
        </w:rPr>
      </w:pPr>
    </w:p>
    <w:p w14:paraId="6FFAB8D0" w14:textId="77777777" w:rsidR="00436955" w:rsidRDefault="00436955">
      <w:pPr>
        <w:spacing w:after="160" w:line="259" w:lineRule="auto"/>
        <w:rPr>
          <w:rFonts w:eastAsia="Arial"/>
          <w:noProof/>
          <w:sz w:val="32"/>
          <w:szCs w:val="32"/>
          <w:lang w:val="en-CA" w:bidi="en-CA"/>
        </w:rPr>
      </w:pPr>
    </w:p>
    <w:p w14:paraId="2AF0BA41" w14:textId="77777777" w:rsidR="00436955" w:rsidRDefault="00436955">
      <w:pPr>
        <w:spacing w:after="160" w:line="259" w:lineRule="auto"/>
        <w:rPr>
          <w:rFonts w:eastAsia="Arial"/>
          <w:noProof/>
          <w:sz w:val="32"/>
          <w:szCs w:val="32"/>
          <w:lang w:val="en-CA" w:bidi="en-CA"/>
        </w:rPr>
      </w:pPr>
    </w:p>
    <w:p w14:paraId="28023831" w14:textId="77777777" w:rsidR="00436955" w:rsidRDefault="00436955">
      <w:pPr>
        <w:spacing w:after="160" w:line="259" w:lineRule="auto"/>
        <w:rPr>
          <w:rFonts w:eastAsia="Arial"/>
          <w:noProof/>
          <w:sz w:val="32"/>
          <w:szCs w:val="32"/>
          <w:lang w:val="en-CA" w:bidi="en-CA"/>
        </w:rPr>
      </w:pPr>
    </w:p>
    <w:p w14:paraId="18D1C7C3" w14:textId="77777777" w:rsidR="00436955" w:rsidRDefault="00436955">
      <w:pPr>
        <w:spacing w:after="160" w:line="259" w:lineRule="auto"/>
        <w:rPr>
          <w:rFonts w:eastAsia="Arial"/>
          <w:noProof/>
          <w:sz w:val="32"/>
          <w:szCs w:val="32"/>
          <w:lang w:val="en-CA" w:bidi="en-CA"/>
        </w:rPr>
      </w:pPr>
    </w:p>
    <w:p w14:paraId="005CC9E2" w14:textId="77777777" w:rsidR="00B351E5" w:rsidRDefault="00B351E5">
      <w:pPr>
        <w:spacing w:after="160" w:line="259" w:lineRule="auto"/>
        <w:rPr>
          <w:rFonts w:eastAsia="Arial"/>
          <w:noProof/>
          <w:sz w:val="32"/>
          <w:szCs w:val="32"/>
          <w:lang w:val="en-CA" w:bidi="en-CA"/>
        </w:rPr>
      </w:pPr>
    </w:p>
    <w:p w14:paraId="255C773C" w14:textId="77777777" w:rsidR="00B351E5" w:rsidRDefault="00B351E5">
      <w:pPr>
        <w:spacing w:after="160" w:line="259" w:lineRule="auto"/>
        <w:rPr>
          <w:rFonts w:eastAsia="Arial"/>
          <w:noProof/>
          <w:sz w:val="32"/>
          <w:szCs w:val="32"/>
          <w:lang w:val="en-CA" w:bidi="en-CA"/>
        </w:rPr>
      </w:pPr>
    </w:p>
    <w:p w14:paraId="2DEEB178" w14:textId="77777777" w:rsidR="003C37F4" w:rsidRDefault="003C37F4">
      <w:pPr>
        <w:spacing w:after="160" w:line="259" w:lineRule="auto"/>
        <w:rPr>
          <w:rFonts w:eastAsia="Arial"/>
          <w:noProof/>
          <w:sz w:val="32"/>
          <w:szCs w:val="32"/>
          <w:lang w:val="en-CA" w:bidi="en-CA"/>
        </w:rPr>
      </w:pPr>
    </w:p>
    <w:p w14:paraId="3408242F" w14:textId="77777777" w:rsidR="00E178EB" w:rsidRDefault="00E178EB">
      <w:pPr>
        <w:spacing w:after="160" w:line="259" w:lineRule="auto"/>
        <w:rPr>
          <w:rFonts w:eastAsia="Arial"/>
          <w:noProof/>
          <w:sz w:val="32"/>
          <w:szCs w:val="32"/>
          <w:lang w:val="en-CA" w:bidi="en-CA"/>
        </w:rPr>
      </w:pPr>
    </w:p>
    <w:p w14:paraId="3767CFCD" w14:textId="243293B7" w:rsidR="00436955" w:rsidRPr="007C6546" w:rsidRDefault="00436955" w:rsidP="00436955">
      <w:pPr>
        <w:rPr>
          <w:b/>
          <w:bCs/>
          <w:sz w:val="32"/>
          <w:szCs w:val="32"/>
          <w:lang w:val="en-CA"/>
        </w:rPr>
      </w:pPr>
      <w:r w:rsidRPr="007C6546">
        <w:rPr>
          <w:b/>
          <w:bCs/>
          <w:sz w:val="32"/>
          <w:szCs w:val="32"/>
          <w:lang w:val="en-CA"/>
        </w:rPr>
        <w:t>Lump sums</w:t>
      </w:r>
      <w:r w:rsidR="00A66CA9">
        <w:rPr>
          <w:b/>
          <w:bCs/>
          <w:sz w:val="32"/>
          <w:szCs w:val="32"/>
          <w:lang w:val="en-CA"/>
        </w:rPr>
        <w:t xml:space="preserve"> and interest</w:t>
      </w:r>
      <w:r w:rsidRPr="007C6546">
        <w:rPr>
          <w:b/>
          <w:bCs/>
          <w:sz w:val="32"/>
          <w:szCs w:val="32"/>
          <w:lang w:val="en-CA"/>
        </w:rPr>
        <w:t xml:space="preserve"> owed to employees</w:t>
      </w:r>
      <w:r w:rsidR="008F1176">
        <w:rPr>
          <w:b/>
          <w:bCs/>
          <w:sz w:val="32"/>
          <w:szCs w:val="32"/>
          <w:lang w:val="en-CA"/>
        </w:rPr>
        <w:t xml:space="preserve"> [Remove if not applicable]</w:t>
      </w:r>
      <w:r w:rsidRPr="007C6546">
        <w:rPr>
          <w:b/>
          <w:bCs/>
          <w:sz w:val="32"/>
          <w:szCs w:val="32"/>
          <w:lang w:val="en-CA"/>
        </w:rPr>
        <w:t xml:space="preserve"> </w:t>
      </w:r>
    </w:p>
    <w:p w14:paraId="349AEBA9" w14:textId="77777777" w:rsidR="00436955" w:rsidRDefault="00436955" w:rsidP="00436955">
      <w:pPr>
        <w:rPr>
          <w:b/>
          <w:sz w:val="28"/>
          <w:szCs w:val="28"/>
          <w:lang w:val="en-CA"/>
        </w:rPr>
      </w:pPr>
    </w:p>
    <w:p w14:paraId="53D9F9F0" w14:textId="77777777" w:rsidR="00C63653" w:rsidRDefault="00436955" w:rsidP="00C363F8">
      <w:pPr>
        <w:rPr>
          <w:sz w:val="28"/>
          <w:szCs w:val="28"/>
          <w:lang w:val="en-CA"/>
        </w:rPr>
      </w:pPr>
      <w:r w:rsidRPr="4A93418B">
        <w:rPr>
          <w:sz w:val="28"/>
          <w:szCs w:val="28"/>
          <w:lang w:val="en-CA"/>
        </w:rPr>
        <w:t xml:space="preserve">Employers who have been granted permission by the Pay Equity Commissioner to </w:t>
      </w:r>
      <w:r w:rsidRPr="00DA62AE">
        <w:rPr>
          <w:b/>
          <w:bCs/>
          <w:sz w:val="28"/>
          <w:szCs w:val="28"/>
          <w:lang w:val="en-CA"/>
        </w:rPr>
        <w:t>extend the deadline</w:t>
      </w:r>
      <w:r w:rsidRPr="4A93418B">
        <w:rPr>
          <w:sz w:val="28"/>
          <w:szCs w:val="28"/>
          <w:lang w:val="en-CA"/>
        </w:rPr>
        <w:t xml:space="preserve"> for posting their final pay equity plan must pay lump sums to employees and former employees owed an increase in compensation [Act s. 62(2) and </w:t>
      </w:r>
      <w:r>
        <w:rPr>
          <w:sz w:val="28"/>
          <w:szCs w:val="28"/>
          <w:lang w:val="en-CA"/>
        </w:rPr>
        <w:t>62</w:t>
      </w:r>
      <w:r w:rsidRPr="4A93418B">
        <w:rPr>
          <w:sz w:val="28"/>
          <w:szCs w:val="28"/>
          <w:lang w:val="en-CA"/>
        </w:rPr>
        <w:t xml:space="preserve">(7)]. </w:t>
      </w:r>
    </w:p>
    <w:p w14:paraId="474D2F3F" w14:textId="77777777" w:rsidR="00C63653" w:rsidRDefault="00C63653" w:rsidP="00C363F8">
      <w:pPr>
        <w:rPr>
          <w:sz w:val="28"/>
          <w:szCs w:val="28"/>
          <w:lang w:val="en-CA"/>
        </w:rPr>
      </w:pPr>
    </w:p>
    <w:p w14:paraId="632E990A" w14:textId="6C5656CF" w:rsidR="00364B39" w:rsidRPr="00364B39" w:rsidRDefault="00364B39" w:rsidP="00C363F8">
      <w:pPr>
        <w:rPr>
          <w:sz w:val="28"/>
          <w:szCs w:val="28"/>
          <w:lang w:val="en-CA"/>
        </w:rPr>
      </w:pPr>
      <w:r w:rsidRPr="00364B39">
        <w:rPr>
          <w:sz w:val="28"/>
          <w:szCs w:val="28"/>
          <w:lang w:val="en-CA"/>
        </w:rPr>
        <w:t>Lump sum payments must be equal to the amount in dollars that would have been payable had no extension been granted</w:t>
      </w:r>
      <w:r>
        <w:rPr>
          <w:sz w:val="28"/>
          <w:szCs w:val="28"/>
          <w:lang w:val="en-CA"/>
        </w:rPr>
        <w:t xml:space="preserve"> [Act s.62(2)]</w:t>
      </w:r>
      <w:r w:rsidRPr="00364B39">
        <w:rPr>
          <w:sz w:val="28"/>
          <w:szCs w:val="28"/>
          <w:lang w:val="en-CA"/>
        </w:rPr>
        <w:t>.</w:t>
      </w:r>
    </w:p>
    <w:p w14:paraId="364F906E" w14:textId="7560263C" w:rsidR="00436955" w:rsidRDefault="00436955" w:rsidP="00436955">
      <w:pPr>
        <w:rPr>
          <w:sz w:val="28"/>
          <w:szCs w:val="28"/>
          <w:lang w:val="en-CA"/>
        </w:rPr>
      </w:pPr>
    </w:p>
    <w:p w14:paraId="39B42991" w14:textId="77777777" w:rsidR="000F78D5" w:rsidRPr="000F78D5" w:rsidRDefault="000F78D5" w:rsidP="000F78D5">
      <w:pPr>
        <w:rPr>
          <w:bCs/>
          <w:sz w:val="28"/>
          <w:szCs w:val="28"/>
          <w:lang w:val="en-US"/>
        </w:rPr>
      </w:pPr>
      <w:r w:rsidRPr="000F78D5">
        <w:rPr>
          <w:sz w:val="28"/>
          <w:szCs w:val="28"/>
          <w:lang w:val="en-CA"/>
        </w:rPr>
        <w:t xml:space="preserve">Employers that are required to pay lump sums must also pay interest as stated in section </w:t>
      </w:r>
      <w:r w:rsidRPr="000F78D5">
        <w:rPr>
          <w:bCs/>
          <w:sz w:val="28"/>
          <w:szCs w:val="28"/>
          <w:lang w:val="en-US"/>
        </w:rPr>
        <w:t xml:space="preserve">62(5) of the Pay Equity Act. The interest is to be calculated and compounded daily at the aggregate of 2% annually </w:t>
      </w:r>
      <w:r w:rsidRPr="000F78D5">
        <w:rPr>
          <w:b/>
          <w:sz w:val="28"/>
          <w:szCs w:val="28"/>
          <w:lang w:val="en-US"/>
        </w:rPr>
        <w:t xml:space="preserve">and </w:t>
      </w:r>
      <w:r w:rsidRPr="000F78D5">
        <w:rPr>
          <w:bCs/>
          <w:sz w:val="28"/>
          <w:szCs w:val="28"/>
          <w:lang w:val="en-US"/>
        </w:rPr>
        <w:t xml:space="preserve">the bank rate in effect on the day for which it is calculated, for the period beginning on the first day after the day on which the amount was required to be paid and ending on the day on which the amount is paid [Act s. 62(5) and 62(6)]. </w:t>
      </w:r>
    </w:p>
    <w:p w14:paraId="296F6421" w14:textId="77777777" w:rsidR="00436955" w:rsidRDefault="00436955" w:rsidP="00436955">
      <w:pPr>
        <w:rPr>
          <w:sz w:val="28"/>
          <w:szCs w:val="28"/>
          <w:lang w:val="en-US"/>
        </w:rPr>
      </w:pPr>
    </w:p>
    <w:p w14:paraId="1B313557" w14:textId="77777777" w:rsidR="00D36C5D" w:rsidRDefault="00D36C5D" w:rsidP="00436955">
      <w:pPr>
        <w:rPr>
          <w:sz w:val="28"/>
          <w:szCs w:val="28"/>
          <w:lang w:val="en-US"/>
        </w:rPr>
      </w:pPr>
    </w:p>
    <w:p w14:paraId="630B86C6" w14:textId="77777777" w:rsidR="00D36C5D" w:rsidRDefault="00D36C5D" w:rsidP="00436955">
      <w:pPr>
        <w:rPr>
          <w:sz w:val="28"/>
          <w:szCs w:val="28"/>
          <w:lang w:val="en-US"/>
        </w:rPr>
      </w:pPr>
    </w:p>
    <w:p w14:paraId="0109378B" w14:textId="77777777" w:rsidR="00D36C5D" w:rsidRDefault="00D36C5D" w:rsidP="00436955">
      <w:pPr>
        <w:rPr>
          <w:sz w:val="28"/>
          <w:szCs w:val="28"/>
          <w:lang w:val="en-US"/>
        </w:rPr>
      </w:pPr>
    </w:p>
    <w:p w14:paraId="36E97686" w14:textId="77777777" w:rsidR="00943404" w:rsidRDefault="00943404" w:rsidP="00DB7B03">
      <w:pPr>
        <w:pStyle w:val="Heading2"/>
      </w:pPr>
    </w:p>
    <w:p w14:paraId="09E53467" w14:textId="77777777" w:rsidR="00943404" w:rsidRDefault="00943404" w:rsidP="00DB7B03">
      <w:pPr>
        <w:pStyle w:val="Heading2"/>
      </w:pPr>
    </w:p>
    <w:p w14:paraId="60B61638" w14:textId="77777777" w:rsidR="00943404" w:rsidRDefault="00943404" w:rsidP="00DB7B03">
      <w:pPr>
        <w:pStyle w:val="Heading2"/>
      </w:pPr>
    </w:p>
    <w:p w14:paraId="406DA143" w14:textId="77777777" w:rsidR="00943404" w:rsidRDefault="00943404" w:rsidP="00DB7B03">
      <w:pPr>
        <w:pStyle w:val="Heading2"/>
      </w:pPr>
    </w:p>
    <w:p w14:paraId="1D5A6BB0" w14:textId="77777777" w:rsidR="006F1240" w:rsidRPr="006F1240" w:rsidRDefault="006F1240" w:rsidP="006F1240">
      <w:pPr>
        <w:rPr>
          <w:lang w:val="en-CA" w:bidi="en-CA"/>
        </w:rPr>
      </w:pPr>
    </w:p>
    <w:p w14:paraId="7FC70534" w14:textId="77777777" w:rsidR="00943404" w:rsidRDefault="00943404" w:rsidP="00DB7B03">
      <w:pPr>
        <w:pStyle w:val="Heading2"/>
      </w:pPr>
    </w:p>
    <w:p w14:paraId="02A87F41" w14:textId="77777777" w:rsidR="00943404" w:rsidRDefault="00943404" w:rsidP="00943404">
      <w:pPr>
        <w:rPr>
          <w:lang w:val="en-CA" w:bidi="en-CA"/>
        </w:rPr>
      </w:pPr>
    </w:p>
    <w:p w14:paraId="3C5B3092" w14:textId="77777777" w:rsidR="00943404" w:rsidRPr="00C363F8" w:rsidRDefault="00943404" w:rsidP="00C363F8">
      <w:pPr>
        <w:rPr>
          <w:lang w:val="en-CA" w:bidi="en-CA"/>
        </w:rPr>
      </w:pPr>
    </w:p>
    <w:p w14:paraId="31610C59" w14:textId="25ABFC7D" w:rsidR="00436955" w:rsidRDefault="00436955" w:rsidP="00DB7B03">
      <w:pPr>
        <w:pStyle w:val="Heading2"/>
      </w:pPr>
      <w:r w:rsidRPr="00D6030E">
        <w:t>Lump sum</w:t>
      </w:r>
      <w:r w:rsidR="002646A8">
        <w:t>s</w:t>
      </w:r>
    </w:p>
    <w:p w14:paraId="5C005721" w14:textId="77777777" w:rsidR="00943404" w:rsidRDefault="00943404" w:rsidP="00943404">
      <w:pPr>
        <w:rPr>
          <w:sz w:val="28"/>
          <w:szCs w:val="28"/>
          <w:lang w:val="en-US"/>
        </w:rPr>
      </w:pPr>
      <w:r w:rsidRPr="009D2266">
        <w:rPr>
          <w:sz w:val="28"/>
          <w:szCs w:val="28"/>
          <w:lang w:val="en-CA"/>
        </w:rPr>
        <w:t>[</w:t>
      </w:r>
      <w:r>
        <w:rPr>
          <w:sz w:val="28"/>
          <w:szCs w:val="28"/>
          <w:lang w:val="en-CA"/>
        </w:rPr>
        <w:t xml:space="preserve">Directions: </w:t>
      </w:r>
      <w:r w:rsidRPr="009243D7">
        <w:rPr>
          <w:sz w:val="28"/>
          <w:szCs w:val="28"/>
          <w:lang w:val="en-CA"/>
        </w:rPr>
        <w:t>Revise table to reflect your workplace. Rows can be added</w:t>
      </w:r>
      <w:r w:rsidRPr="009243D7">
        <w:rPr>
          <w:sz w:val="28"/>
          <w:szCs w:val="28"/>
          <w:lang w:val="en-US"/>
        </w:rPr>
        <w:t>.]</w:t>
      </w:r>
    </w:p>
    <w:p w14:paraId="73237B4F" w14:textId="77777777" w:rsidR="00436955" w:rsidRDefault="00436955" w:rsidP="00436955">
      <w:pPr>
        <w:rPr>
          <w:lang w:val="en-US"/>
        </w:rPr>
      </w:pPr>
    </w:p>
    <w:p w14:paraId="333E82C1" w14:textId="2E0D1EB5" w:rsidR="00436955" w:rsidRDefault="00436955" w:rsidP="00436955">
      <w:pPr>
        <w:rPr>
          <w:sz w:val="28"/>
          <w:szCs w:val="28"/>
          <w:lang w:val="en-US"/>
        </w:rPr>
      </w:pPr>
      <w:r w:rsidRPr="00D6030E">
        <w:rPr>
          <w:sz w:val="28"/>
          <w:szCs w:val="28"/>
          <w:lang w:val="en-US"/>
        </w:rPr>
        <w:t xml:space="preserve">The table below presents the lump sum </w:t>
      </w:r>
      <w:r w:rsidR="00C63653">
        <w:rPr>
          <w:sz w:val="28"/>
          <w:szCs w:val="28"/>
          <w:lang w:val="en-US"/>
        </w:rPr>
        <w:t>amounts owed to</w:t>
      </w:r>
      <w:r w:rsidRPr="00D6030E">
        <w:rPr>
          <w:sz w:val="28"/>
          <w:szCs w:val="28"/>
          <w:lang w:val="en-US"/>
        </w:rPr>
        <w:t xml:space="preserve"> each </w:t>
      </w:r>
      <w:r w:rsidR="004219C3">
        <w:rPr>
          <w:sz w:val="28"/>
          <w:szCs w:val="28"/>
          <w:lang w:val="en-US"/>
        </w:rPr>
        <w:t xml:space="preserve">job position within each </w:t>
      </w:r>
      <w:r w:rsidRPr="00D6030E">
        <w:rPr>
          <w:sz w:val="28"/>
          <w:szCs w:val="28"/>
          <w:lang w:val="en-US"/>
        </w:rPr>
        <w:t xml:space="preserve">predominantly female job class eligible </w:t>
      </w:r>
      <w:r>
        <w:rPr>
          <w:sz w:val="28"/>
          <w:szCs w:val="28"/>
          <w:lang w:val="en-US"/>
        </w:rPr>
        <w:t>for</w:t>
      </w:r>
      <w:r w:rsidRPr="00D6030E">
        <w:rPr>
          <w:sz w:val="28"/>
          <w:szCs w:val="28"/>
          <w:lang w:val="en-US"/>
        </w:rPr>
        <w:t xml:space="preserve"> an increase in compensation</w:t>
      </w:r>
      <w:r>
        <w:rPr>
          <w:sz w:val="28"/>
          <w:szCs w:val="28"/>
          <w:lang w:val="en-US"/>
        </w:rPr>
        <w:t xml:space="preserve">. </w:t>
      </w:r>
    </w:p>
    <w:tbl>
      <w:tblPr>
        <w:tblStyle w:val="TableGrid"/>
        <w:tblW w:w="5000" w:type="pct"/>
        <w:tblLook w:val="04A0" w:firstRow="1" w:lastRow="0" w:firstColumn="1" w:lastColumn="0" w:noHBand="0" w:noVBand="1"/>
      </w:tblPr>
      <w:tblGrid>
        <w:gridCol w:w="4530"/>
        <w:gridCol w:w="4502"/>
        <w:gridCol w:w="3657"/>
      </w:tblGrid>
      <w:tr w:rsidR="002646A8" w:rsidRPr="000F3844" w14:paraId="22183EEE" w14:textId="77777777" w:rsidTr="001E4BE1">
        <w:trPr>
          <w:trHeight w:val="553"/>
        </w:trPr>
        <w:tc>
          <w:tcPr>
            <w:tcW w:w="1785" w:type="pct"/>
            <w:shd w:val="clear" w:color="auto" w:fill="DEEAF6" w:themeFill="accent1" w:themeFillTint="33"/>
            <w:vAlign w:val="center"/>
          </w:tcPr>
          <w:p w14:paraId="7692C1EE" w14:textId="77777777" w:rsidR="002646A8" w:rsidRPr="004D4D08" w:rsidRDefault="002646A8" w:rsidP="00426BF3">
            <w:pPr>
              <w:jc w:val="center"/>
              <w:rPr>
                <w:b/>
                <w:sz w:val="28"/>
                <w:lang w:val="en-CA"/>
              </w:rPr>
            </w:pPr>
            <w:r w:rsidRPr="004D4D08">
              <w:rPr>
                <w:b/>
                <w:sz w:val="28"/>
                <w:lang w:val="en-CA"/>
              </w:rPr>
              <w:t>Job class</w:t>
            </w:r>
          </w:p>
        </w:tc>
        <w:tc>
          <w:tcPr>
            <w:tcW w:w="1774" w:type="pct"/>
            <w:shd w:val="clear" w:color="auto" w:fill="DEEAF6" w:themeFill="accent1" w:themeFillTint="33"/>
            <w:vAlign w:val="center"/>
          </w:tcPr>
          <w:p w14:paraId="7726C8DC" w14:textId="001786D7" w:rsidR="002646A8" w:rsidRPr="004D4D08" w:rsidRDefault="007B1FED" w:rsidP="00426BF3">
            <w:pPr>
              <w:jc w:val="center"/>
              <w:rPr>
                <w:b/>
                <w:sz w:val="28"/>
                <w:lang w:val="en-CA"/>
              </w:rPr>
            </w:pPr>
            <w:r>
              <w:rPr>
                <w:b/>
                <w:sz w:val="28"/>
                <w:lang w:val="en-CA"/>
              </w:rPr>
              <w:t>Job position</w:t>
            </w:r>
          </w:p>
        </w:tc>
        <w:tc>
          <w:tcPr>
            <w:tcW w:w="1441" w:type="pct"/>
            <w:shd w:val="clear" w:color="auto" w:fill="DEEAF6" w:themeFill="accent1" w:themeFillTint="33"/>
            <w:vAlign w:val="center"/>
          </w:tcPr>
          <w:p w14:paraId="25F49470" w14:textId="2F598C6F" w:rsidR="002646A8" w:rsidRPr="00AA6C81" w:rsidRDefault="002646A8" w:rsidP="00426BF3">
            <w:pPr>
              <w:jc w:val="center"/>
              <w:rPr>
                <w:b/>
                <w:sz w:val="28"/>
                <w:lang w:val="en-CA"/>
              </w:rPr>
            </w:pPr>
            <w:r>
              <w:rPr>
                <w:b/>
                <w:sz w:val="28"/>
                <w:lang w:val="en-CA"/>
              </w:rPr>
              <w:t>Total lump sum</w:t>
            </w:r>
            <w:r w:rsidR="007B1FED">
              <w:rPr>
                <w:b/>
                <w:sz w:val="28"/>
                <w:lang w:val="en-CA"/>
              </w:rPr>
              <w:t xml:space="preserve"> and interest</w:t>
            </w:r>
            <w:r>
              <w:rPr>
                <w:b/>
                <w:sz w:val="28"/>
                <w:lang w:val="en-CA"/>
              </w:rPr>
              <w:t xml:space="preserve"> owed</w:t>
            </w:r>
            <w:r w:rsidR="007B1FED">
              <w:rPr>
                <w:b/>
                <w:sz w:val="28"/>
                <w:lang w:val="en-CA"/>
              </w:rPr>
              <w:t xml:space="preserve"> to each job position within the job class</w:t>
            </w:r>
            <w:r>
              <w:rPr>
                <w:b/>
                <w:sz w:val="28"/>
                <w:lang w:val="en-CA"/>
              </w:rPr>
              <w:t xml:space="preserve"> ($)</w:t>
            </w:r>
          </w:p>
        </w:tc>
      </w:tr>
      <w:tr w:rsidR="002646A8" w:rsidRPr="000F3844" w14:paraId="61F2902E" w14:textId="77777777" w:rsidTr="001E4BE1">
        <w:trPr>
          <w:trHeight w:val="529"/>
        </w:trPr>
        <w:tc>
          <w:tcPr>
            <w:tcW w:w="1785" w:type="pct"/>
          </w:tcPr>
          <w:p w14:paraId="1732E67D" w14:textId="77777777" w:rsidR="002646A8" w:rsidRDefault="002646A8" w:rsidP="00426BF3">
            <w:pPr>
              <w:rPr>
                <w:lang w:val="en-CA"/>
              </w:rPr>
            </w:pPr>
            <w:r>
              <w:rPr>
                <w:lang w:val="en-CA"/>
              </w:rPr>
              <w:t xml:space="preserve"> </w:t>
            </w:r>
          </w:p>
        </w:tc>
        <w:tc>
          <w:tcPr>
            <w:tcW w:w="1774" w:type="pct"/>
            <w:vAlign w:val="center"/>
          </w:tcPr>
          <w:p w14:paraId="16C0FB77" w14:textId="77777777" w:rsidR="002646A8" w:rsidRDefault="002646A8" w:rsidP="00426BF3">
            <w:pPr>
              <w:rPr>
                <w:lang w:val="en-CA"/>
              </w:rPr>
            </w:pPr>
          </w:p>
        </w:tc>
        <w:tc>
          <w:tcPr>
            <w:tcW w:w="1441" w:type="pct"/>
          </w:tcPr>
          <w:p w14:paraId="047BC499" w14:textId="77777777" w:rsidR="002646A8" w:rsidRPr="00AA6C81" w:rsidRDefault="002646A8" w:rsidP="00426BF3">
            <w:pPr>
              <w:rPr>
                <w:b/>
                <w:sz w:val="28"/>
                <w:lang w:val="en-CA"/>
              </w:rPr>
            </w:pPr>
          </w:p>
        </w:tc>
      </w:tr>
      <w:tr w:rsidR="002646A8" w:rsidRPr="000F3844" w14:paraId="2BCF4907" w14:textId="77777777" w:rsidTr="001E4BE1">
        <w:trPr>
          <w:trHeight w:val="511"/>
        </w:trPr>
        <w:tc>
          <w:tcPr>
            <w:tcW w:w="1785" w:type="pct"/>
          </w:tcPr>
          <w:p w14:paraId="31921D03" w14:textId="77777777" w:rsidR="002646A8" w:rsidRDefault="002646A8" w:rsidP="00426BF3">
            <w:pPr>
              <w:rPr>
                <w:lang w:val="en-CA"/>
              </w:rPr>
            </w:pPr>
          </w:p>
        </w:tc>
        <w:tc>
          <w:tcPr>
            <w:tcW w:w="1774" w:type="pct"/>
            <w:vAlign w:val="center"/>
          </w:tcPr>
          <w:p w14:paraId="4D6FCFEF" w14:textId="77777777" w:rsidR="002646A8" w:rsidRDefault="002646A8" w:rsidP="00426BF3">
            <w:pPr>
              <w:rPr>
                <w:lang w:val="en-CA"/>
              </w:rPr>
            </w:pPr>
          </w:p>
        </w:tc>
        <w:tc>
          <w:tcPr>
            <w:tcW w:w="1441" w:type="pct"/>
          </w:tcPr>
          <w:p w14:paraId="5588E77A" w14:textId="77777777" w:rsidR="002646A8" w:rsidRPr="00AA6C81" w:rsidRDefault="002646A8" w:rsidP="00426BF3">
            <w:pPr>
              <w:rPr>
                <w:b/>
                <w:sz w:val="28"/>
                <w:lang w:val="en-CA"/>
              </w:rPr>
            </w:pPr>
          </w:p>
        </w:tc>
      </w:tr>
      <w:tr w:rsidR="002646A8" w:rsidRPr="000F3844" w14:paraId="0BD37636" w14:textId="77777777" w:rsidTr="001E4BE1">
        <w:trPr>
          <w:trHeight w:val="511"/>
        </w:trPr>
        <w:tc>
          <w:tcPr>
            <w:tcW w:w="1785" w:type="pct"/>
          </w:tcPr>
          <w:p w14:paraId="4A316A7C" w14:textId="77777777" w:rsidR="002646A8" w:rsidRDefault="002646A8" w:rsidP="00426BF3">
            <w:pPr>
              <w:rPr>
                <w:lang w:val="en-CA"/>
              </w:rPr>
            </w:pPr>
          </w:p>
        </w:tc>
        <w:tc>
          <w:tcPr>
            <w:tcW w:w="1774" w:type="pct"/>
            <w:vAlign w:val="center"/>
          </w:tcPr>
          <w:p w14:paraId="64CEF036" w14:textId="77777777" w:rsidR="002646A8" w:rsidRDefault="002646A8" w:rsidP="00426BF3">
            <w:pPr>
              <w:rPr>
                <w:lang w:val="en-CA"/>
              </w:rPr>
            </w:pPr>
          </w:p>
        </w:tc>
        <w:tc>
          <w:tcPr>
            <w:tcW w:w="1441" w:type="pct"/>
          </w:tcPr>
          <w:p w14:paraId="71E2274C" w14:textId="77777777" w:rsidR="002646A8" w:rsidRPr="00AA6C81" w:rsidRDefault="002646A8" w:rsidP="00426BF3">
            <w:pPr>
              <w:rPr>
                <w:b/>
                <w:sz w:val="28"/>
                <w:lang w:val="en-CA"/>
              </w:rPr>
            </w:pPr>
          </w:p>
        </w:tc>
      </w:tr>
    </w:tbl>
    <w:p w14:paraId="7DEC8AB8" w14:textId="77777777" w:rsidR="007025BE" w:rsidRPr="00D6030E" w:rsidRDefault="007025BE" w:rsidP="00436955">
      <w:pPr>
        <w:rPr>
          <w:sz w:val="28"/>
          <w:szCs w:val="28"/>
          <w:lang w:val="en-US"/>
        </w:rPr>
      </w:pPr>
    </w:p>
    <w:p w14:paraId="002B061A" w14:textId="77777777" w:rsidR="00436955" w:rsidRDefault="00436955" w:rsidP="00436955">
      <w:pPr>
        <w:rPr>
          <w:sz w:val="28"/>
          <w:szCs w:val="28"/>
          <w:lang w:val="en-CA"/>
        </w:rPr>
      </w:pPr>
    </w:p>
    <w:p w14:paraId="17A0A2A5" w14:textId="77777777" w:rsidR="00436955" w:rsidRDefault="00436955" w:rsidP="00436955">
      <w:pPr>
        <w:spacing w:after="160" w:line="259" w:lineRule="auto"/>
        <w:rPr>
          <w:sz w:val="28"/>
          <w:szCs w:val="28"/>
          <w:lang w:val="en-US"/>
        </w:rPr>
      </w:pPr>
    </w:p>
    <w:p w14:paraId="62F468C1" w14:textId="77777777" w:rsidR="002646A8" w:rsidRDefault="002646A8" w:rsidP="00436955">
      <w:pPr>
        <w:spacing w:after="160" w:line="259" w:lineRule="auto"/>
        <w:rPr>
          <w:sz w:val="28"/>
          <w:szCs w:val="28"/>
          <w:lang w:val="en-US"/>
        </w:rPr>
      </w:pPr>
    </w:p>
    <w:p w14:paraId="6B8DEA2B" w14:textId="77777777" w:rsidR="002646A8" w:rsidRDefault="002646A8" w:rsidP="00436955">
      <w:pPr>
        <w:spacing w:after="160" w:line="259" w:lineRule="auto"/>
        <w:rPr>
          <w:sz w:val="28"/>
          <w:szCs w:val="28"/>
          <w:lang w:val="en-US"/>
        </w:rPr>
      </w:pPr>
    </w:p>
    <w:p w14:paraId="1D68AE7F" w14:textId="77777777" w:rsidR="002646A8" w:rsidRDefault="002646A8" w:rsidP="00436955">
      <w:pPr>
        <w:spacing w:after="160" w:line="259" w:lineRule="auto"/>
        <w:rPr>
          <w:sz w:val="28"/>
          <w:szCs w:val="28"/>
          <w:lang w:val="en-US"/>
        </w:rPr>
      </w:pPr>
    </w:p>
    <w:p w14:paraId="5CAF4A3B" w14:textId="77777777" w:rsidR="002646A8" w:rsidRDefault="002646A8" w:rsidP="00436955">
      <w:pPr>
        <w:spacing w:after="160" w:line="259" w:lineRule="auto"/>
        <w:rPr>
          <w:sz w:val="28"/>
          <w:szCs w:val="28"/>
          <w:lang w:val="en-US"/>
        </w:rPr>
      </w:pPr>
    </w:p>
    <w:p w14:paraId="13CEA493" w14:textId="77777777" w:rsidR="002646A8" w:rsidRDefault="002646A8" w:rsidP="00436955">
      <w:pPr>
        <w:spacing w:after="160" w:line="259" w:lineRule="auto"/>
        <w:rPr>
          <w:sz w:val="28"/>
          <w:szCs w:val="28"/>
          <w:lang w:val="en-US"/>
        </w:rPr>
      </w:pPr>
    </w:p>
    <w:p w14:paraId="5E73ADD8" w14:textId="77777777" w:rsidR="002646A8" w:rsidRPr="00F0151D" w:rsidRDefault="002646A8" w:rsidP="00436955">
      <w:pPr>
        <w:spacing w:after="160" w:line="259" w:lineRule="auto"/>
        <w:rPr>
          <w:sz w:val="28"/>
          <w:szCs w:val="28"/>
          <w:lang w:val="en-US"/>
        </w:rPr>
      </w:pPr>
    </w:p>
    <w:p w14:paraId="2880382A" w14:textId="5A4012E9" w:rsidR="001335A9" w:rsidRPr="00896B66" w:rsidRDefault="00E07665" w:rsidP="00DB7B03">
      <w:pPr>
        <w:pStyle w:val="Heading2"/>
      </w:pPr>
      <w:r>
        <w:lastRenderedPageBreak/>
        <w:t>E</w:t>
      </w:r>
      <w:r w:rsidR="00896B66" w:rsidRPr="00896B66">
        <w:t>mployee Rights</w:t>
      </w:r>
    </w:p>
    <w:p w14:paraId="4606E7FE" w14:textId="11FEC7C7" w:rsidR="00D05115" w:rsidRDefault="00D05115" w:rsidP="00D05115">
      <w:pPr>
        <w:rPr>
          <w:rFonts w:eastAsia="Arial"/>
          <w:lang w:val="en-CA" w:bidi="en-CA"/>
        </w:rPr>
      </w:pPr>
    </w:p>
    <w:p w14:paraId="64E8606B" w14:textId="77777777" w:rsidR="00050CB8" w:rsidRDefault="1B267AC4" w:rsidP="48197981">
      <w:pPr>
        <w:spacing w:after="240"/>
        <w:rPr>
          <w:rFonts w:eastAsia="Arial"/>
          <w:noProof/>
          <w:sz w:val="28"/>
          <w:szCs w:val="28"/>
          <w:lang w:val="en-CA" w:bidi="en-CA"/>
        </w:rPr>
      </w:pPr>
      <w:r w:rsidRPr="48197981">
        <w:rPr>
          <w:rFonts w:eastAsia="Arial"/>
          <w:noProof/>
          <w:sz w:val="28"/>
          <w:szCs w:val="28"/>
          <w:lang w:val="en-CA" w:bidi="en-CA"/>
        </w:rPr>
        <w:t xml:space="preserve">This notice must be posted in the employer’s workplace as required by section 56(1) of the federal Pay Equity Act. </w:t>
      </w:r>
    </w:p>
    <w:p w14:paraId="1BC58535" w14:textId="38F0E5EA" w:rsidR="1B267AC4" w:rsidRDefault="1B267AC4" w:rsidP="48197981">
      <w:pPr>
        <w:spacing w:after="240"/>
        <w:rPr>
          <w:sz w:val="28"/>
          <w:szCs w:val="28"/>
          <w:lang w:val="en-CA"/>
        </w:rPr>
      </w:pPr>
      <w:r w:rsidRPr="48197981">
        <w:rPr>
          <w:rFonts w:eastAsia="Arial"/>
          <w:noProof/>
          <w:sz w:val="28"/>
          <w:szCs w:val="28"/>
          <w:lang w:val="en-CA" w:bidi="en-CA"/>
        </w:rPr>
        <w:t xml:space="preserve">It must be </w:t>
      </w:r>
      <w:r w:rsidRPr="48197981">
        <w:rPr>
          <w:sz w:val="28"/>
          <w:szCs w:val="28"/>
          <w:lang w:val="en-CA"/>
        </w:rPr>
        <w:t>posted in printed and/or electronic form and in such a way as to be</w:t>
      </w:r>
      <w:r w:rsidR="00050CB8">
        <w:rPr>
          <w:sz w:val="28"/>
          <w:szCs w:val="28"/>
          <w:lang w:val="en-CA"/>
        </w:rPr>
        <w:t xml:space="preserve"> easily and</w:t>
      </w:r>
      <w:r w:rsidRPr="48197981">
        <w:rPr>
          <w:sz w:val="28"/>
          <w:szCs w:val="28"/>
          <w:lang w:val="en-CA"/>
        </w:rPr>
        <w:t xml:space="preserve"> readily available to all employees [Regulations s.</w:t>
      </w:r>
      <w:r w:rsidR="00953EAC">
        <w:rPr>
          <w:sz w:val="28"/>
          <w:szCs w:val="28"/>
          <w:lang w:val="en-CA"/>
        </w:rPr>
        <w:t xml:space="preserve"> </w:t>
      </w:r>
      <w:r w:rsidRPr="48197981">
        <w:rPr>
          <w:sz w:val="28"/>
          <w:szCs w:val="28"/>
          <w:lang w:val="en-CA"/>
        </w:rPr>
        <w:t xml:space="preserve">3]. </w:t>
      </w:r>
    </w:p>
    <w:p w14:paraId="2FC56716" w14:textId="617C3BA5" w:rsidR="1B267AC4" w:rsidRDefault="00633E1E" w:rsidP="48197981">
      <w:pPr>
        <w:rPr>
          <w:sz w:val="28"/>
          <w:szCs w:val="28"/>
          <w:lang w:val="en-US" w:eastAsia="fr-CA"/>
        </w:rPr>
      </w:pPr>
      <w:r>
        <w:rPr>
          <w:sz w:val="28"/>
          <w:szCs w:val="28"/>
          <w:lang w:val="en-US" w:eastAsia="fr-CA"/>
        </w:rPr>
        <w:t>This</w:t>
      </w:r>
      <w:r w:rsidR="1B267AC4" w:rsidRPr="48197981">
        <w:rPr>
          <w:sz w:val="28"/>
          <w:szCs w:val="28"/>
          <w:lang w:val="en-US" w:eastAsia="fr-CA"/>
        </w:rPr>
        <w:t xml:space="preserve"> notice must be posted in a form that is accessible to </w:t>
      </w:r>
      <w:r>
        <w:rPr>
          <w:sz w:val="28"/>
          <w:szCs w:val="28"/>
          <w:lang w:val="en-US" w:eastAsia="fr-CA"/>
        </w:rPr>
        <w:t>all</w:t>
      </w:r>
      <w:r w:rsidR="1B267AC4" w:rsidRPr="48197981">
        <w:rPr>
          <w:sz w:val="28"/>
          <w:szCs w:val="28"/>
          <w:lang w:val="en-US" w:eastAsia="fr-CA"/>
        </w:rPr>
        <w:t xml:space="preserve"> employee</w:t>
      </w:r>
      <w:r>
        <w:rPr>
          <w:sz w:val="28"/>
          <w:szCs w:val="28"/>
          <w:lang w:val="en-US" w:eastAsia="fr-CA"/>
        </w:rPr>
        <w:t>s</w:t>
      </w:r>
      <w:r w:rsidR="1B267AC4" w:rsidRPr="48197981">
        <w:rPr>
          <w:sz w:val="28"/>
          <w:szCs w:val="28"/>
          <w:lang w:val="en-US" w:eastAsia="fr-CA"/>
        </w:rPr>
        <w:t xml:space="preserve"> </w:t>
      </w:r>
      <w:r w:rsidR="1B267AC4" w:rsidRPr="48197981">
        <w:rPr>
          <w:sz w:val="28"/>
          <w:szCs w:val="28"/>
          <w:lang w:val="en-CA"/>
        </w:rPr>
        <w:t>[Regulations s.</w:t>
      </w:r>
      <w:r w:rsidR="00953EAC">
        <w:rPr>
          <w:sz w:val="28"/>
          <w:szCs w:val="28"/>
          <w:lang w:val="en-CA"/>
        </w:rPr>
        <w:t xml:space="preserve"> </w:t>
      </w:r>
      <w:r w:rsidR="1B267AC4" w:rsidRPr="48197981">
        <w:rPr>
          <w:sz w:val="28"/>
          <w:szCs w:val="28"/>
          <w:lang w:val="en-CA"/>
        </w:rPr>
        <w:t>4].</w:t>
      </w:r>
    </w:p>
    <w:p w14:paraId="408618E6" w14:textId="77777777" w:rsidR="48197981" w:rsidRDefault="48197981" w:rsidP="48197981">
      <w:pPr>
        <w:rPr>
          <w:sz w:val="28"/>
          <w:szCs w:val="28"/>
          <w:lang w:val="en-US" w:eastAsia="fr-CA"/>
        </w:rPr>
      </w:pPr>
    </w:p>
    <w:p w14:paraId="292F219A" w14:textId="6D08E011" w:rsidR="1B267AC4" w:rsidRDefault="1B267AC4" w:rsidP="48197981">
      <w:pPr>
        <w:rPr>
          <w:sz w:val="28"/>
          <w:szCs w:val="28"/>
          <w:lang w:val="en-US" w:eastAsia="fr-CA"/>
        </w:rPr>
      </w:pPr>
      <w:r w:rsidRPr="48197981">
        <w:rPr>
          <w:sz w:val="28"/>
          <w:szCs w:val="28"/>
          <w:lang w:val="en-US" w:eastAsia="fr-CA"/>
        </w:rPr>
        <w:t xml:space="preserve">If a notice is posted in electronic form, the employer must provide any necessary information to employees to enable them to access the document </w:t>
      </w:r>
      <w:r w:rsidRPr="48197981">
        <w:rPr>
          <w:sz w:val="28"/>
          <w:szCs w:val="28"/>
          <w:lang w:val="en-CA"/>
        </w:rPr>
        <w:t>[Regulations s.</w:t>
      </w:r>
      <w:r w:rsidR="00953EAC">
        <w:rPr>
          <w:sz w:val="28"/>
          <w:szCs w:val="28"/>
          <w:lang w:val="en-CA"/>
        </w:rPr>
        <w:t xml:space="preserve"> 5</w:t>
      </w:r>
      <w:r w:rsidRPr="48197981">
        <w:rPr>
          <w:sz w:val="28"/>
          <w:szCs w:val="28"/>
          <w:lang w:val="en-CA"/>
        </w:rPr>
        <w:t>].</w:t>
      </w:r>
    </w:p>
    <w:p w14:paraId="4F0B9B31" w14:textId="6D529E09" w:rsidR="48197981" w:rsidRDefault="48197981" w:rsidP="48197981">
      <w:pPr>
        <w:rPr>
          <w:sz w:val="28"/>
          <w:szCs w:val="28"/>
          <w:lang w:val="en-CA"/>
        </w:rPr>
      </w:pPr>
    </w:p>
    <w:p w14:paraId="32B787B1" w14:textId="0888EC15" w:rsidR="1B267AC4" w:rsidRDefault="1B267AC4" w:rsidP="48197981">
      <w:pPr>
        <w:rPr>
          <w:rFonts w:eastAsia="Arial"/>
          <w:noProof/>
          <w:sz w:val="28"/>
          <w:szCs w:val="28"/>
          <w:lang w:val="en-CA" w:bidi="en-CA"/>
        </w:rPr>
      </w:pPr>
      <w:r w:rsidRPr="48197981">
        <w:rPr>
          <w:sz w:val="28"/>
          <w:szCs w:val="28"/>
          <w:lang w:val="en-CA"/>
        </w:rPr>
        <w:t xml:space="preserve">An employer, bargaining agent or any other person acting on their behalf cannot </w:t>
      </w:r>
      <w:r w:rsidRPr="48197981">
        <w:rPr>
          <w:rFonts w:eastAsia="Arial"/>
          <w:noProof/>
          <w:sz w:val="28"/>
          <w:szCs w:val="28"/>
          <w:lang w:val="en-CA" w:bidi="en-CA"/>
        </w:rPr>
        <w:t xml:space="preserve">penalize employees </w:t>
      </w:r>
      <w:r w:rsidR="00953EAC">
        <w:rPr>
          <w:rFonts w:eastAsia="Arial"/>
          <w:noProof/>
          <w:sz w:val="28"/>
          <w:szCs w:val="28"/>
          <w:lang w:val="en-CA" w:bidi="en-CA"/>
        </w:rPr>
        <w:t>for</w:t>
      </w:r>
      <w:r w:rsidR="00953EAC" w:rsidRPr="48197981">
        <w:rPr>
          <w:rFonts w:eastAsia="Arial"/>
          <w:noProof/>
          <w:sz w:val="28"/>
          <w:szCs w:val="28"/>
          <w:lang w:val="en-CA" w:bidi="en-CA"/>
        </w:rPr>
        <w:t xml:space="preserve"> </w:t>
      </w:r>
      <w:r w:rsidRPr="48197981">
        <w:rPr>
          <w:rFonts w:eastAsia="Arial"/>
          <w:noProof/>
          <w:sz w:val="28"/>
          <w:szCs w:val="28"/>
          <w:lang w:val="en-CA" w:bidi="en-CA"/>
        </w:rPr>
        <w:t>exercising their rights under the Pay Equity Act [</w:t>
      </w:r>
      <w:r w:rsidRPr="48197981">
        <w:rPr>
          <w:sz w:val="28"/>
          <w:szCs w:val="28"/>
          <w:lang w:val="en-CA"/>
        </w:rPr>
        <w:t>s.</w:t>
      </w:r>
      <w:r w:rsidR="00953EAC">
        <w:rPr>
          <w:sz w:val="28"/>
          <w:szCs w:val="28"/>
          <w:lang w:val="en-CA"/>
        </w:rPr>
        <w:t xml:space="preserve"> </w:t>
      </w:r>
      <w:r w:rsidRPr="48197981">
        <w:rPr>
          <w:sz w:val="28"/>
          <w:szCs w:val="28"/>
          <w:lang w:val="en-CA"/>
        </w:rPr>
        <w:t>102 and 103</w:t>
      </w:r>
      <w:r w:rsidRPr="48197981">
        <w:rPr>
          <w:rFonts w:eastAsia="Arial"/>
          <w:noProof/>
          <w:sz w:val="28"/>
          <w:szCs w:val="28"/>
          <w:lang w:val="en-CA" w:bidi="en-CA"/>
        </w:rPr>
        <w:t>].</w:t>
      </w:r>
    </w:p>
    <w:p w14:paraId="37F8A662" w14:textId="37209120" w:rsidR="48197981" w:rsidRDefault="48197981" w:rsidP="00DB7B03">
      <w:pPr>
        <w:pStyle w:val="Heading2"/>
      </w:pPr>
    </w:p>
    <w:p w14:paraId="16FD1D5F" w14:textId="53BFC2E6" w:rsidR="003A15C1" w:rsidRPr="00E05DB9" w:rsidRDefault="00D05115" w:rsidP="00C363F8">
      <w:pPr>
        <w:rPr>
          <w:rFonts w:eastAsia="Arial"/>
          <w:noProof/>
          <w:sz w:val="28"/>
          <w:szCs w:val="28"/>
          <w:lang w:val="en-CA"/>
        </w:rPr>
      </w:pPr>
      <w:bookmarkStart w:id="6" w:name="_Hlk153377595"/>
      <w:r w:rsidRPr="00E05DB9">
        <w:rPr>
          <w:rFonts w:eastAsia="Arial"/>
          <w:noProof/>
          <w:sz w:val="28"/>
          <w:szCs w:val="28"/>
          <w:lang w:val="en-CA"/>
        </w:rPr>
        <w:t xml:space="preserve">No complaint can be made against </w:t>
      </w:r>
      <w:r w:rsidR="00953EAC" w:rsidRPr="00E05DB9">
        <w:rPr>
          <w:rFonts w:eastAsia="Arial"/>
          <w:noProof/>
          <w:sz w:val="28"/>
          <w:szCs w:val="28"/>
          <w:lang w:val="en-CA"/>
        </w:rPr>
        <w:t xml:space="preserve">and no notice of violation can be served on </w:t>
      </w:r>
      <w:r w:rsidRPr="00E05DB9">
        <w:rPr>
          <w:rFonts w:eastAsia="Arial"/>
          <w:noProof/>
          <w:sz w:val="28"/>
          <w:szCs w:val="28"/>
          <w:lang w:val="en-CA"/>
        </w:rPr>
        <w:t>the employer for failing to pay any increase owed for the first 90</w:t>
      </w:r>
      <w:r w:rsidR="44D38860" w:rsidRPr="00E05DB9">
        <w:rPr>
          <w:rFonts w:eastAsia="Arial"/>
          <w:noProof/>
          <w:sz w:val="28"/>
          <w:szCs w:val="28"/>
          <w:lang w:val="en-CA"/>
        </w:rPr>
        <w:t xml:space="preserve"> </w:t>
      </w:r>
      <w:r w:rsidRPr="00E05DB9">
        <w:rPr>
          <w:rFonts w:eastAsia="Arial"/>
          <w:noProof/>
          <w:sz w:val="28"/>
          <w:szCs w:val="28"/>
          <w:lang w:val="en-CA"/>
        </w:rPr>
        <w:t>days after it was owed [Act s.</w:t>
      </w:r>
      <w:r w:rsidR="00953EAC" w:rsidRPr="00E05DB9">
        <w:rPr>
          <w:rFonts w:eastAsia="Arial"/>
          <w:noProof/>
          <w:sz w:val="28"/>
          <w:szCs w:val="28"/>
          <w:lang w:val="en-CA"/>
        </w:rPr>
        <w:t xml:space="preserve"> </w:t>
      </w:r>
      <w:r w:rsidRPr="00E05DB9">
        <w:rPr>
          <w:rFonts w:eastAsia="Arial"/>
          <w:noProof/>
          <w:sz w:val="28"/>
          <w:szCs w:val="28"/>
          <w:lang w:val="en-CA"/>
        </w:rPr>
        <w:t xml:space="preserve">96]. </w:t>
      </w:r>
      <w:r w:rsidR="00953EAC" w:rsidRPr="00E05DB9">
        <w:rPr>
          <w:rFonts w:eastAsia="Arial"/>
          <w:noProof/>
          <w:sz w:val="28"/>
          <w:szCs w:val="28"/>
          <w:lang w:val="en-CA"/>
        </w:rPr>
        <w:t>This</w:t>
      </w:r>
      <w:r w:rsidRPr="00E05DB9">
        <w:rPr>
          <w:rFonts w:eastAsia="Arial"/>
          <w:noProof/>
          <w:sz w:val="28"/>
          <w:szCs w:val="28"/>
          <w:lang w:val="en-CA"/>
        </w:rPr>
        <w:t xml:space="preserve"> does not</w:t>
      </w:r>
      <w:r w:rsidR="00953EAC" w:rsidRPr="00E05DB9">
        <w:rPr>
          <w:rFonts w:eastAsia="Arial"/>
          <w:noProof/>
          <w:sz w:val="28"/>
          <w:szCs w:val="28"/>
          <w:lang w:val="en-CA"/>
        </w:rPr>
        <w:t>, however,</w:t>
      </w:r>
      <w:r w:rsidRPr="00E05DB9">
        <w:rPr>
          <w:rFonts w:eastAsia="Arial"/>
          <w:noProof/>
          <w:sz w:val="28"/>
          <w:szCs w:val="28"/>
          <w:lang w:val="en-CA"/>
        </w:rPr>
        <w:t xml:space="preserve"> prevent interest from accruing [Act s.</w:t>
      </w:r>
      <w:r w:rsidR="00953EAC" w:rsidRPr="00E05DB9">
        <w:rPr>
          <w:rFonts w:eastAsia="Arial"/>
          <w:noProof/>
          <w:sz w:val="28"/>
          <w:szCs w:val="28"/>
          <w:lang w:val="en-CA"/>
        </w:rPr>
        <w:t xml:space="preserve"> </w:t>
      </w:r>
      <w:r w:rsidRPr="00E05DB9">
        <w:rPr>
          <w:rFonts w:eastAsia="Arial"/>
          <w:noProof/>
          <w:sz w:val="28"/>
          <w:szCs w:val="28"/>
          <w:lang w:val="en-CA"/>
        </w:rPr>
        <w:t xml:space="preserve">97(1)]. </w:t>
      </w:r>
    </w:p>
    <w:bookmarkEnd w:id="6"/>
    <w:p w14:paraId="041455F3" w14:textId="77777777" w:rsidR="001335A9" w:rsidRPr="00996471" w:rsidRDefault="001335A9" w:rsidP="001335A9">
      <w:pPr>
        <w:rPr>
          <w:rFonts w:cs="Times New Roman"/>
          <w:sz w:val="28"/>
          <w:szCs w:val="28"/>
          <w:lang w:val="en-CA"/>
        </w:rPr>
      </w:pPr>
    </w:p>
    <w:p w14:paraId="1B320E57" w14:textId="0EB4E29B" w:rsidR="001335A9" w:rsidRPr="00996471" w:rsidRDefault="001335A9" w:rsidP="001335A9">
      <w:pPr>
        <w:rPr>
          <w:sz w:val="28"/>
          <w:szCs w:val="28"/>
          <w:lang w:val="en-CA"/>
        </w:rPr>
      </w:pPr>
      <w:r w:rsidRPr="00996471">
        <w:rPr>
          <w:rFonts w:cs="Times New Roman"/>
          <w:sz w:val="28"/>
          <w:szCs w:val="28"/>
          <w:lang w:val="en-CA"/>
        </w:rPr>
        <w:t xml:space="preserve">To know more about </w:t>
      </w:r>
      <w:r w:rsidR="00F95BDA" w:rsidRPr="00F95BDA">
        <w:rPr>
          <w:rFonts w:cs="Times New Roman"/>
          <w:sz w:val="28"/>
          <w:szCs w:val="28"/>
          <w:lang w:val="en-CA"/>
        </w:rPr>
        <w:t>employer, bargaining agent and employee</w:t>
      </w:r>
      <w:r w:rsidR="00F95BDA" w:rsidRPr="00F95BDA" w:rsidDel="00F95BDA">
        <w:rPr>
          <w:rFonts w:cs="Times New Roman"/>
          <w:sz w:val="28"/>
          <w:szCs w:val="28"/>
          <w:lang w:val="en-CA"/>
        </w:rPr>
        <w:t xml:space="preserve"> </w:t>
      </w:r>
      <w:r w:rsidRPr="00996471">
        <w:rPr>
          <w:rFonts w:cs="Times New Roman"/>
          <w:sz w:val="28"/>
          <w:szCs w:val="28"/>
          <w:lang w:val="en-CA"/>
        </w:rPr>
        <w:t>rights and obligations, visit the</w:t>
      </w:r>
      <w:r w:rsidR="009D2266">
        <w:rPr>
          <w:rFonts w:cs="Times New Roman"/>
          <w:sz w:val="28"/>
          <w:szCs w:val="28"/>
          <w:lang w:val="en-CA"/>
        </w:rPr>
        <w:t xml:space="preserve"> </w:t>
      </w:r>
      <w:r w:rsidR="00D83F4A">
        <w:fldChar w:fldCharType="begin"/>
      </w:r>
      <w:r w:rsidR="00D83F4A" w:rsidRPr="001E4BE1">
        <w:rPr>
          <w:lang w:val="en-CA"/>
        </w:rPr>
        <w:instrText>HYPERLINK "https://www.payequitychrc.ca/en</w:instrText>
      </w:r>
      <w:r w:rsidR="00D83F4A" w:rsidRPr="000B5062">
        <w:rPr>
          <w:lang w:val="en-CA"/>
          <w:rPrChange w:id="7" w:author="Morin, Emilie (CHRC/CCDP)" w:date="2024-06-17T11:44:00Z" w16du:dateUtc="2024-06-17T15:44:00Z">
            <w:rPr/>
          </w:rPrChange>
        </w:rPr>
        <w:instrText>"</w:instrText>
      </w:r>
      <w:r w:rsidR="00D83F4A">
        <w:fldChar w:fldCharType="separate"/>
      </w:r>
      <w:r w:rsidR="00BC7374">
        <w:rPr>
          <w:rStyle w:val="Hyperlink"/>
          <w:sz w:val="28"/>
          <w:szCs w:val="28"/>
          <w:lang w:val="en-US"/>
        </w:rPr>
        <w:t>Office</w:t>
      </w:r>
      <w:r w:rsidR="00D83F4A">
        <w:rPr>
          <w:rStyle w:val="Hyperlink"/>
          <w:sz w:val="28"/>
          <w:szCs w:val="28"/>
          <w:lang w:val="en-US"/>
        </w:rPr>
        <w:fldChar w:fldCharType="end"/>
      </w:r>
      <w:r w:rsidR="00BC7374">
        <w:rPr>
          <w:rStyle w:val="Hyperlink"/>
          <w:sz w:val="28"/>
          <w:szCs w:val="28"/>
          <w:lang w:val="en-US"/>
        </w:rPr>
        <w:t xml:space="preserve"> of the Pay Equity Commissioner’s website</w:t>
      </w:r>
      <w:r w:rsidR="009D2266" w:rsidRPr="009D2266">
        <w:rPr>
          <w:sz w:val="28"/>
          <w:szCs w:val="28"/>
          <w:lang w:val="en-US"/>
        </w:rPr>
        <w:t xml:space="preserve">. </w:t>
      </w:r>
    </w:p>
    <w:p w14:paraId="6A5CE8E2" w14:textId="77777777" w:rsidR="001335A9" w:rsidRPr="00996471" w:rsidRDefault="001335A9" w:rsidP="001335A9">
      <w:pPr>
        <w:rPr>
          <w:rFonts w:cs="Times New Roman"/>
          <w:sz w:val="28"/>
          <w:szCs w:val="28"/>
          <w:lang w:val="en-CA"/>
        </w:rPr>
      </w:pPr>
    </w:p>
    <w:p w14:paraId="095F18AC" w14:textId="16CA9FB8" w:rsidR="001335A9" w:rsidRPr="00996471" w:rsidRDefault="001335A9" w:rsidP="001335A9">
      <w:pPr>
        <w:spacing w:before="100" w:beforeAutospacing="1" w:after="100" w:afterAutospacing="1"/>
        <w:contextualSpacing/>
        <w:rPr>
          <w:rStyle w:val="eop"/>
          <w:sz w:val="28"/>
          <w:szCs w:val="28"/>
          <w:lang w:val="en-CA"/>
        </w:rPr>
      </w:pPr>
      <w:r w:rsidRPr="00996471">
        <w:rPr>
          <w:sz w:val="28"/>
          <w:szCs w:val="28"/>
          <w:lang w:val="en-CA"/>
        </w:rPr>
        <w:t xml:space="preserve">You can also contact </w:t>
      </w:r>
      <w:r w:rsidR="00E6685C">
        <w:rPr>
          <w:sz w:val="28"/>
          <w:szCs w:val="28"/>
          <w:lang w:val="en-CA"/>
        </w:rPr>
        <w:t>the</w:t>
      </w:r>
      <w:r w:rsidR="00602BEA">
        <w:rPr>
          <w:sz w:val="28"/>
          <w:szCs w:val="28"/>
          <w:lang w:val="en-CA"/>
        </w:rPr>
        <w:t xml:space="preserve"> Office of the Pay Equity</w:t>
      </w:r>
      <w:r w:rsidR="00E6685C">
        <w:rPr>
          <w:sz w:val="28"/>
          <w:szCs w:val="28"/>
          <w:lang w:val="en-CA"/>
        </w:rPr>
        <w:t xml:space="preserve"> Commission</w:t>
      </w:r>
      <w:r w:rsidR="00602BEA">
        <w:rPr>
          <w:sz w:val="28"/>
          <w:szCs w:val="28"/>
          <w:lang w:val="en-CA"/>
        </w:rPr>
        <w:t>er</w:t>
      </w:r>
      <w:r w:rsidRPr="00996471">
        <w:rPr>
          <w:sz w:val="28"/>
          <w:szCs w:val="28"/>
          <w:lang w:val="en-CA"/>
        </w:rPr>
        <w:t xml:space="preserve"> by phone at the National Call Centre:</w:t>
      </w:r>
      <w:r w:rsidRPr="00996471">
        <w:rPr>
          <w:sz w:val="28"/>
          <w:szCs w:val="28"/>
          <w:lang w:val="en-CA"/>
        </w:rPr>
        <w:br/>
      </w:r>
      <w:r w:rsidRPr="00996471">
        <w:rPr>
          <w:rStyle w:val="normaltextrun"/>
          <w:sz w:val="28"/>
          <w:szCs w:val="28"/>
          <w:lang w:val="en-CA"/>
        </w:rPr>
        <w:t>Toll Free: 1-888-214-1090</w:t>
      </w:r>
      <w:r w:rsidRPr="00996471">
        <w:rPr>
          <w:rStyle w:val="eop"/>
          <w:sz w:val="28"/>
          <w:szCs w:val="28"/>
          <w:lang w:val="en-CA"/>
        </w:rPr>
        <w:t> </w:t>
      </w:r>
    </w:p>
    <w:p w14:paraId="7D5A535B" w14:textId="2D2B2412" w:rsidR="00953EAC" w:rsidRPr="00996471" w:rsidRDefault="001335A9" w:rsidP="00600EF2">
      <w:pPr>
        <w:spacing w:before="100" w:beforeAutospacing="1"/>
        <w:contextualSpacing/>
        <w:rPr>
          <w:sz w:val="28"/>
          <w:szCs w:val="28"/>
          <w:lang w:val="en-CA"/>
        </w:rPr>
      </w:pPr>
      <w:r w:rsidRPr="00996471">
        <w:rPr>
          <w:rStyle w:val="normaltextrun"/>
          <w:sz w:val="28"/>
          <w:szCs w:val="28"/>
          <w:lang w:val="en-CA"/>
        </w:rPr>
        <w:t xml:space="preserve">TTY: </w:t>
      </w:r>
      <w:r w:rsidRPr="00996471">
        <w:rPr>
          <w:sz w:val="28"/>
          <w:szCs w:val="28"/>
          <w:lang w:val="en-CA"/>
        </w:rPr>
        <w:t>1-800-465-7735</w:t>
      </w:r>
    </w:p>
    <w:p w14:paraId="24F3EE04" w14:textId="77777777" w:rsidR="001335A9" w:rsidRPr="00996471" w:rsidRDefault="001335A9" w:rsidP="001335A9">
      <w:pPr>
        <w:pStyle w:val="paragraph"/>
        <w:spacing w:before="0" w:beforeAutospacing="0" w:after="0" w:afterAutospacing="0"/>
        <w:textAlignment w:val="baseline"/>
        <w:rPr>
          <w:rFonts w:ascii="Arial" w:hAnsi="Arial" w:cs="Arial"/>
          <w:sz w:val="28"/>
          <w:szCs w:val="28"/>
        </w:rPr>
      </w:pPr>
      <w:r w:rsidRPr="00996471">
        <w:rPr>
          <w:rStyle w:val="normaltextrun"/>
          <w:rFonts w:ascii="Arial" w:hAnsi="Arial" w:cs="Arial"/>
          <w:sz w:val="28"/>
          <w:szCs w:val="28"/>
        </w:rPr>
        <w:t>Hours of operation:</w:t>
      </w:r>
      <w:r w:rsidRPr="00996471">
        <w:rPr>
          <w:rStyle w:val="eop"/>
          <w:rFonts w:ascii="Arial" w:hAnsi="Arial" w:cs="Arial"/>
          <w:sz w:val="28"/>
          <w:szCs w:val="28"/>
        </w:rPr>
        <w:t> </w:t>
      </w:r>
    </w:p>
    <w:p w14:paraId="7FB2B93E" w14:textId="69E1A150" w:rsidR="009C5679" w:rsidRPr="009C5679" w:rsidRDefault="001335A9" w:rsidP="4A93418B">
      <w:pPr>
        <w:pStyle w:val="paragraph"/>
        <w:spacing w:before="0" w:beforeAutospacing="0" w:after="0" w:afterAutospacing="0"/>
        <w:textAlignment w:val="baseline"/>
        <w:rPr>
          <w:rFonts w:eastAsia="Arial"/>
          <w:b/>
          <w:bCs/>
          <w:noProof/>
          <w:sz w:val="28"/>
          <w:szCs w:val="28"/>
        </w:rPr>
      </w:pPr>
      <w:r w:rsidRPr="4A93418B">
        <w:rPr>
          <w:rStyle w:val="normaltextrun"/>
          <w:rFonts w:ascii="Arial" w:hAnsi="Arial" w:cs="Arial"/>
          <w:sz w:val="28"/>
          <w:szCs w:val="28"/>
        </w:rPr>
        <w:t>Monday to Friday, 8:00 a.m. to 8:00 p.m. (Eastern Time)</w:t>
      </w:r>
      <w:r w:rsidRPr="4A93418B">
        <w:rPr>
          <w:rStyle w:val="eop"/>
          <w:rFonts w:ascii="Arial" w:hAnsi="Arial" w:cs="Arial"/>
          <w:sz w:val="28"/>
          <w:szCs w:val="28"/>
        </w:rPr>
        <w:t> </w:t>
      </w:r>
    </w:p>
    <w:sectPr w:rsidR="009C5679" w:rsidRPr="009C5679" w:rsidSect="00E215A9">
      <w:type w:val="continuous"/>
      <w:pgSz w:w="15840" w:h="12240" w:orient="landscape" w:code="1"/>
      <w:pgMar w:top="1588" w:right="1701" w:bottom="1588" w:left="1440" w:header="284"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B6D12" w14:textId="77777777" w:rsidR="00F05916" w:rsidRDefault="00F05916" w:rsidP="00E37822">
      <w:r>
        <w:separator/>
      </w:r>
    </w:p>
  </w:endnote>
  <w:endnote w:type="continuationSeparator" w:id="0">
    <w:p w14:paraId="2D5AA68D" w14:textId="77777777" w:rsidR="00F05916" w:rsidRDefault="00F05916" w:rsidP="00E3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24B5F" w14:textId="77777777" w:rsidR="00B02332" w:rsidRPr="00AF69AF" w:rsidRDefault="0027426B" w:rsidP="00023EBC">
    <w:pPr>
      <w:pStyle w:val="Footer"/>
      <w:jc w:val="center"/>
      <w:rPr>
        <w:sz w:val="16"/>
      </w:rPr>
    </w:pPr>
    <w:r>
      <w:rPr>
        <w:sz w:val="16"/>
      </w:rPr>
      <w:tab/>
    </w:r>
    <w:r>
      <w:rPr>
        <w:sz w:val="16"/>
      </w:rPr>
      <w:tab/>
    </w:r>
  </w:p>
  <w:p w14:paraId="5D32580C" w14:textId="77777777" w:rsidR="00B02332" w:rsidRDefault="00B02332" w:rsidP="00023EBC">
    <w:pPr>
      <w:pStyle w:val="Footer"/>
      <w:jc w:val="center"/>
      <w:rPr>
        <w:sz w:val="16"/>
      </w:rPr>
    </w:pPr>
  </w:p>
  <w:p w14:paraId="6F68AAB5" w14:textId="77777777" w:rsidR="00B02332" w:rsidRPr="000D3AE9" w:rsidRDefault="0027426B" w:rsidP="00023EBC">
    <w:pPr>
      <w:pStyle w:val="Footer"/>
      <w:jc w:val="center"/>
      <w:rPr>
        <w:sz w:val="16"/>
        <w:lang w:val="en-CA"/>
      </w:rPr>
    </w:pPr>
    <w:r w:rsidRPr="000D3AE9">
      <w:rPr>
        <w:sz w:val="16"/>
        <w:lang w:val="en-CA"/>
      </w:rPr>
      <w:t>344 Slater Street, Ottawa, Ontario  K1A 1E1</w:t>
    </w:r>
  </w:p>
  <w:p w14:paraId="1D69E69B" w14:textId="77777777" w:rsidR="00B02332" w:rsidRPr="000D3AE9" w:rsidRDefault="0027426B" w:rsidP="00023EBC">
    <w:pPr>
      <w:pStyle w:val="Footer"/>
      <w:jc w:val="center"/>
      <w:rPr>
        <w:sz w:val="16"/>
        <w:lang w:val="en-CA"/>
      </w:rPr>
    </w:pPr>
    <w:r w:rsidRPr="000D3AE9">
      <w:rPr>
        <w:sz w:val="16"/>
        <w:lang w:val="en-CA"/>
      </w:rPr>
      <w:t>344, rue Slater, Ottawa (Ontario)  K1A 1E1</w:t>
    </w:r>
  </w:p>
  <w:p w14:paraId="02C07DBD" w14:textId="77777777" w:rsidR="00B02332" w:rsidRPr="002B0431" w:rsidRDefault="0027426B" w:rsidP="00023EBC">
    <w:pPr>
      <w:pStyle w:val="Footer"/>
      <w:jc w:val="center"/>
      <w:rPr>
        <w:sz w:val="16"/>
      </w:rPr>
    </w:pPr>
    <w:proofErr w:type="spellStart"/>
    <w:r>
      <w:rPr>
        <w:sz w:val="16"/>
      </w:rPr>
      <w:t>Toll</w:t>
    </w:r>
    <w:proofErr w:type="spellEnd"/>
    <w:r>
      <w:rPr>
        <w:sz w:val="16"/>
      </w:rPr>
      <w:t>-free/Sans frais 1-888-214-1090, TTY/ATS 1-888-643-3304, Fax/Téléc. 613 996-9661</w:t>
    </w:r>
  </w:p>
  <w:p w14:paraId="2DA45C55" w14:textId="77777777" w:rsidR="00B02332" w:rsidRPr="002B0431" w:rsidRDefault="0027426B" w:rsidP="00023EBC">
    <w:pPr>
      <w:pStyle w:val="Footer"/>
      <w:jc w:val="center"/>
    </w:pPr>
    <w:r>
      <w:rPr>
        <w:sz w:val="16"/>
      </w:rPr>
      <w:t>www.chrc-ccdp.gc.ca</w:t>
    </w:r>
  </w:p>
  <w:p w14:paraId="1576E3DA" w14:textId="77777777" w:rsidR="00B02332" w:rsidRPr="002B0431" w:rsidRDefault="00B023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921768"/>
      <w:docPartObj>
        <w:docPartGallery w:val="Page Numbers (Bottom of Page)"/>
        <w:docPartUnique/>
      </w:docPartObj>
    </w:sdtPr>
    <w:sdtEndPr>
      <w:rPr>
        <w:noProof/>
      </w:rPr>
    </w:sdtEndPr>
    <w:sdtContent>
      <w:p w14:paraId="6CBA3A41" w14:textId="7990E6A8" w:rsidR="00F6529B" w:rsidRDefault="00F6529B">
        <w:pPr>
          <w:pStyle w:val="Footer"/>
          <w:jc w:val="right"/>
        </w:pPr>
        <w:r>
          <w:fldChar w:fldCharType="begin"/>
        </w:r>
        <w:r>
          <w:instrText xml:space="preserve"> PAGE   \* MERGEFORMAT </w:instrText>
        </w:r>
        <w:r>
          <w:fldChar w:fldCharType="separate"/>
        </w:r>
        <w:r w:rsidR="0051683F">
          <w:rPr>
            <w:noProof/>
          </w:rPr>
          <w:t>5</w:t>
        </w:r>
        <w:r>
          <w:rPr>
            <w:noProof/>
          </w:rPr>
          <w:fldChar w:fldCharType="end"/>
        </w:r>
      </w:p>
    </w:sdtContent>
  </w:sdt>
  <w:p w14:paraId="08E7F217" w14:textId="77777777" w:rsidR="00E37822" w:rsidRDefault="00E37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E2CD3" w14:textId="77777777" w:rsidR="00B02332" w:rsidRPr="00FD7E9E" w:rsidRDefault="00B02332">
    <w:pPr>
      <w:pStyle w:val="Footer"/>
      <w:rPr>
        <w:sz w:val="16"/>
      </w:rPr>
    </w:pPr>
  </w:p>
  <w:p w14:paraId="2F5A8C05" w14:textId="77777777" w:rsidR="00B02332" w:rsidRPr="00FD7E9E" w:rsidRDefault="00B02332" w:rsidP="00B9764A">
    <w:pPr>
      <w:rPr>
        <w:lang w:val="en-CA"/>
      </w:rPr>
    </w:pPr>
  </w:p>
  <w:p w14:paraId="3FBA6EEA" w14:textId="77777777" w:rsidR="00B02332" w:rsidRPr="000D3AE9" w:rsidRDefault="0027426B" w:rsidP="00B9764A">
    <w:pPr>
      <w:pStyle w:val="Footer"/>
      <w:jc w:val="center"/>
      <w:rPr>
        <w:sz w:val="16"/>
        <w:lang w:val="en-CA"/>
      </w:rPr>
    </w:pPr>
    <w:r w:rsidRPr="000D3AE9">
      <w:rPr>
        <w:sz w:val="16"/>
        <w:lang w:val="en-CA"/>
      </w:rPr>
      <w:t>344 Slater Street, Ottawa, Ontario  K1A 1E1</w:t>
    </w:r>
  </w:p>
  <w:p w14:paraId="6E3DCB57" w14:textId="77777777" w:rsidR="00B02332" w:rsidRPr="000D3AE9" w:rsidRDefault="0027426B" w:rsidP="00B9764A">
    <w:pPr>
      <w:pStyle w:val="Footer"/>
      <w:jc w:val="center"/>
      <w:rPr>
        <w:sz w:val="16"/>
        <w:lang w:val="en-CA"/>
      </w:rPr>
    </w:pPr>
    <w:r w:rsidRPr="000D3AE9">
      <w:rPr>
        <w:sz w:val="16"/>
        <w:lang w:val="en-CA"/>
      </w:rPr>
      <w:t>344, rue Slater, Ottawa (Ontario)  K1A 1E1</w:t>
    </w:r>
  </w:p>
  <w:p w14:paraId="53AEBB9F" w14:textId="77777777" w:rsidR="00B02332" w:rsidRPr="00084E0C" w:rsidRDefault="0027426B" w:rsidP="00B9764A">
    <w:pPr>
      <w:pStyle w:val="Footer"/>
      <w:jc w:val="center"/>
      <w:rPr>
        <w:sz w:val="16"/>
        <w:lang w:val="en-CA"/>
      </w:rPr>
    </w:pPr>
    <w:r w:rsidRPr="00084E0C">
      <w:rPr>
        <w:sz w:val="16"/>
        <w:lang w:val="en-CA"/>
      </w:rPr>
      <w:t>Toll-free/Sans frais 1-888-214-1090, TTY/ATS 1-888-643-3304</w:t>
    </w:r>
  </w:p>
  <w:p w14:paraId="716095B4" w14:textId="77777777" w:rsidR="00B02332" w:rsidRPr="00FD7E9E" w:rsidRDefault="0027426B" w:rsidP="00B9764A">
    <w:pPr>
      <w:pStyle w:val="Footer"/>
      <w:jc w:val="center"/>
      <w:rPr>
        <w:lang w:val="en-CA"/>
      </w:rPr>
    </w:pPr>
    <w:r w:rsidRPr="00FD7E9E">
      <w:rPr>
        <w:sz w:val="16"/>
        <w:lang w:val="en-CA"/>
      </w:rPr>
      <w:t>www.chrc-ccdp.gc.ca</w:t>
    </w:r>
  </w:p>
  <w:p w14:paraId="215C1D84" w14:textId="77777777" w:rsidR="00B02332" w:rsidRDefault="00B02332" w:rsidP="00FD7E9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ABAB1" w14:textId="77777777" w:rsidR="00F05916" w:rsidRDefault="00F05916" w:rsidP="00E37822">
      <w:r>
        <w:separator/>
      </w:r>
    </w:p>
  </w:footnote>
  <w:footnote w:type="continuationSeparator" w:id="0">
    <w:p w14:paraId="2029539E" w14:textId="77777777" w:rsidR="00F05916" w:rsidRDefault="00F05916" w:rsidP="00E37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3A0FB" w14:textId="77777777" w:rsidR="00B02332" w:rsidRDefault="0027426B">
    <w:pPr>
      <w:pStyle w:val="Header"/>
      <w:jc w:val="center"/>
    </w:pPr>
    <w:r>
      <w:t>2</w:t>
    </w:r>
  </w:p>
  <w:p w14:paraId="18D3B778" w14:textId="77777777" w:rsidR="00B02332" w:rsidRPr="002A671D" w:rsidRDefault="00B02332" w:rsidP="00A735C4">
    <w:pPr>
      <w:pStyle w:val="Header"/>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7322E" w14:textId="77777777" w:rsidR="00B02332" w:rsidRDefault="0027426B" w:rsidP="00023EBC">
    <w:pPr>
      <w:pStyle w:val="ResolutionsServices-English"/>
    </w:pPr>
    <w:r>
      <w:rPr>
        <w:noProof/>
        <w:lang w:val="en-CA" w:eastAsia="en-CA"/>
      </w:rPr>
      <w:drawing>
        <wp:anchor distT="0" distB="0" distL="114300" distR="114300" simplePos="0" relativeHeight="251659264" behindDoc="1" locked="0" layoutInCell="1" allowOverlap="1" wp14:anchorId="5A358C42" wp14:editId="102B1E51">
          <wp:simplePos x="0" y="0"/>
          <wp:positionH relativeFrom="margin">
            <wp:align>left</wp:align>
          </wp:positionH>
          <wp:positionV relativeFrom="paragraph">
            <wp:posOffset>-180340</wp:posOffset>
          </wp:positionV>
          <wp:extent cx="2487295" cy="1314450"/>
          <wp:effectExtent l="0" t="0" r="8255" b="0"/>
          <wp:wrapThrough wrapText="bothSides">
            <wp:wrapPolygon edited="0">
              <wp:start x="3970" y="4070"/>
              <wp:lineTo x="165" y="9704"/>
              <wp:lineTo x="165" y="11896"/>
              <wp:lineTo x="993" y="14713"/>
              <wp:lineTo x="1654" y="14713"/>
              <wp:lineTo x="1820" y="17217"/>
              <wp:lineTo x="2647" y="17217"/>
              <wp:lineTo x="4963" y="15965"/>
              <wp:lineTo x="4798" y="14713"/>
              <wp:lineTo x="20679" y="13774"/>
              <wp:lineTo x="21506" y="10643"/>
              <wp:lineTo x="20183" y="8765"/>
              <wp:lineTo x="16212" y="7513"/>
              <wp:lineTo x="4798" y="4070"/>
              <wp:lineTo x="3970" y="4070"/>
            </wp:wrapPolygon>
          </wp:wrapThrough>
          <wp:docPr id="12"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7295" cy="1314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7CC8DB" w14:textId="77777777" w:rsidR="00B02332" w:rsidRDefault="00B02332" w:rsidP="005A651D">
    <w:pPr>
      <w:pStyle w:val="Header"/>
    </w:pPr>
    <w:bookmarkStart w:id="2" w:name="OLE_LINK1"/>
    <w:bookmarkEnd w:id="2"/>
  </w:p>
  <w:tbl>
    <w:tblPr>
      <w:tblW w:w="0" w:type="auto"/>
      <w:tblInd w:w="959" w:type="dxa"/>
      <w:tblLayout w:type="fixed"/>
      <w:tblLook w:val="04A0" w:firstRow="1" w:lastRow="0" w:firstColumn="1" w:lastColumn="0" w:noHBand="0" w:noVBand="1"/>
    </w:tblPr>
    <w:tblGrid>
      <w:gridCol w:w="1843"/>
      <w:gridCol w:w="2924"/>
    </w:tblGrid>
    <w:tr w:rsidR="005A651D" w:rsidRPr="005C68E3" w14:paraId="746A68BB" w14:textId="77777777" w:rsidTr="000B734A">
      <w:trPr>
        <w:trHeight w:val="91"/>
      </w:trPr>
      <w:tc>
        <w:tcPr>
          <w:tcW w:w="1843" w:type="dxa"/>
        </w:tcPr>
        <w:p w14:paraId="77325199" w14:textId="77777777" w:rsidR="00B02332" w:rsidRPr="00525093" w:rsidRDefault="00B02332" w:rsidP="000B734A">
          <w:pPr>
            <w:pStyle w:val="Header"/>
            <w:tabs>
              <w:tab w:val="left" w:pos="3436"/>
            </w:tabs>
            <w:ind w:left="34" w:right="175"/>
            <w:rPr>
              <w:sz w:val="14"/>
              <w:szCs w:val="14"/>
            </w:rPr>
          </w:pPr>
        </w:p>
      </w:tc>
      <w:tc>
        <w:tcPr>
          <w:tcW w:w="2924" w:type="dxa"/>
          <w:tcBorders>
            <w:left w:val="nil"/>
          </w:tcBorders>
        </w:tcPr>
        <w:p w14:paraId="607144D4" w14:textId="77777777" w:rsidR="00B02332" w:rsidRPr="00FA04DF" w:rsidRDefault="00B02332" w:rsidP="000B734A">
          <w:pPr>
            <w:pStyle w:val="Header"/>
            <w:rPr>
              <w:rFonts w:ascii="Verdana" w:hAnsi="Verdana"/>
              <w:sz w:val="14"/>
              <w:szCs w:val="14"/>
            </w:rPr>
          </w:pPr>
        </w:p>
      </w:tc>
    </w:tr>
  </w:tbl>
  <w:p w14:paraId="3140C778" w14:textId="77777777" w:rsidR="00B02332" w:rsidRPr="00A735C4" w:rsidRDefault="00B02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3112B"/>
    <w:multiLevelType w:val="hybridMultilevel"/>
    <w:tmpl w:val="31FE48D0"/>
    <w:lvl w:ilvl="0" w:tplc="A9F466F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1B8783C"/>
    <w:multiLevelType w:val="hybridMultilevel"/>
    <w:tmpl w:val="BFD8656C"/>
    <w:lvl w:ilvl="0" w:tplc="12B4D038">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863A02"/>
    <w:multiLevelType w:val="hybridMultilevel"/>
    <w:tmpl w:val="52F62D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70965B1"/>
    <w:multiLevelType w:val="multilevel"/>
    <w:tmpl w:val="6FCC8398"/>
    <w:lvl w:ilvl="0">
      <w:start w:val="1"/>
      <w:numFmt w:val="decimal"/>
      <w:lvlText w:val="%1."/>
      <w:lvlJc w:val="left"/>
      <w:pPr>
        <w:ind w:left="54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7F66184"/>
    <w:multiLevelType w:val="multilevel"/>
    <w:tmpl w:val="87F4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F1246"/>
    <w:multiLevelType w:val="hybridMultilevel"/>
    <w:tmpl w:val="818E8DE4"/>
    <w:lvl w:ilvl="0" w:tplc="E0D28AE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C365391"/>
    <w:multiLevelType w:val="hybridMultilevel"/>
    <w:tmpl w:val="B21080BA"/>
    <w:lvl w:ilvl="0" w:tplc="12B4D038">
      <w:start w:val="1"/>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0BE2829"/>
    <w:multiLevelType w:val="hybridMultilevel"/>
    <w:tmpl w:val="DD5A48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60236C1"/>
    <w:multiLevelType w:val="hybridMultilevel"/>
    <w:tmpl w:val="971CAB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8AE2B91"/>
    <w:multiLevelType w:val="multilevel"/>
    <w:tmpl w:val="A06028E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8BF3E4E"/>
    <w:multiLevelType w:val="hybridMultilevel"/>
    <w:tmpl w:val="649AEABC"/>
    <w:lvl w:ilvl="0" w:tplc="DCB6E70C">
      <w:start w:val="4"/>
      <w:numFmt w:val="bullet"/>
      <w:lvlText w:val=""/>
      <w:lvlJc w:val="left"/>
      <w:pPr>
        <w:ind w:left="720" w:hanging="360"/>
      </w:pPr>
      <w:rPr>
        <w:rFonts w:ascii="Symbol" w:eastAsia="Times New Roman"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9EC5B83"/>
    <w:multiLevelType w:val="multilevel"/>
    <w:tmpl w:val="2A28B71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A2C31AA"/>
    <w:multiLevelType w:val="hybridMultilevel"/>
    <w:tmpl w:val="60F07630"/>
    <w:lvl w:ilvl="0" w:tplc="15908838">
      <w:numFmt w:val="bullet"/>
      <w:lvlText w:val=""/>
      <w:lvlJc w:val="left"/>
      <w:pPr>
        <w:ind w:left="720" w:hanging="360"/>
      </w:pPr>
      <w:rPr>
        <w:rFonts w:ascii="Symbol" w:eastAsia="Times New Roman"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5EC1163"/>
    <w:multiLevelType w:val="hybridMultilevel"/>
    <w:tmpl w:val="80862172"/>
    <w:lvl w:ilvl="0" w:tplc="8AAA3456">
      <w:start w:val="1"/>
      <w:numFmt w:val="bullet"/>
      <w:lvlText w:val=""/>
      <w:lvlJc w:val="left"/>
      <w:pPr>
        <w:ind w:left="720" w:hanging="360"/>
      </w:pPr>
      <w:rPr>
        <w:rFonts w:ascii="Symbol" w:hAnsi="Symbol" w:hint="default"/>
      </w:rPr>
    </w:lvl>
    <w:lvl w:ilvl="1" w:tplc="5532D5C0">
      <w:start w:val="1"/>
      <w:numFmt w:val="bullet"/>
      <w:lvlText w:val="o"/>
      <w:lvlJc w:val="left"/>
      <w:pPr>
        <w:ind w:left="1440" w:hanging="360"/>
      </w:pPr>
      <w:rPr>
        <w:rFonts w:ascii="Courier New" w:hAnsi="Courier New" w:hint="default"/>
      </w:rPr>
    </w:lvl>
    <w:lvl w:ilvl="2" w:tplc="9DAAFF02">
      <w:start w:val="1"/>
      <w:numFmt w:val="bullet"/>
      <w:lvlText w:val=""/>
      <w:lvlJc w:val="left"/>
      <w:pPr>
        <w:ind w:left="2160" w:hanging="360"/>
      </w:pPr>
      <w:rPr>
        <w:rFonts w:ascii="Wingdings" w:hAnsi="Wingdings" w:hint="default"/>
      </w:rPr>
    </w:lvl>
    <w:lvl w:ilvl="3" w:tplc="935E0E4A">
      <w:start w:val="1"/>
      <w:numFmt w:val="bullet"/>
      <w:lvlText w:val=""/>
      <w:lvlJc w:val="left"/>
      <w:pPr>
        <w:ind w:left="2880" w:hanging="360"/>
      </w:pPr>
      <w:rPr>
        <w:rFonts w:ascii="Symbol" w:hAnsi="Symbol" w:hint="default"/>
      </w:rPr>
    </w:lvl>
    <w:lvl w:ilvl="4" w:tplc="9D401216">
      <w:start w:val="1"/>
      <w:numFmt w:val="bullet"/>
      <w:lvlText w:val="o"/>
      <w:lvlJc w:val="left"/>
      <w:pPr>
        <w:ind w:left="3600" w:hanging="360"/>
      </w:pPr>
      <w:rPr>
        <w:rFonts w:ascii="Courier New" w:hAnsi="Courier New" w:hint="default"/>
      </w:rPr>
    </w:lvl>
    <w:lvl w:ilvl="5" w:tplc="52BEDDE0">
      <w:start w:val="1"/>
      <w:numFmt w:val="bullet"/>
      <w:lvlText w:val=""/>
      <w:lvlJc w:val="left"/>
      <w:pPr>
        <w:ind w:left="4320" w:hanging="360"/>
      </w:pPr>
      <w:rPr>
        <w:rFonts w:ascii="Wingdings" w:hAnsi="Wingdings" w:hint="default"/>
      </w:rPr>
    </w:lvl>
    <w:lvl w:ilvl="6" w:tplc="60B22C12">
      <w:start w:val="1"/>
      <w:numFmt w:val="bullet"/>
      <w:lvlText w:val=""/>
      <w:lvlJc w:val="left"/>
      <w:pPr>
        <w:ind w:left="5040" w:hanging="360"/>
      </w:pPr>
      <w:rPr>
        <w:rFonts w:ascii="Symbol" w:hAnsi="Symbol" w:hint="default"/>
      </w:rPr>
    </w:lvl>
    <w:lvl w:ilvl="7" w:tplc="FF74C6C4">
      <w:start w:val="1"/>
      <w:numFmt w:val="bullet"/>
      <w:lvlText w:val="o"/>
      <w:lvlJc w:val="left"/>
      <w:pPr>
        <w:ind w:left="5760" w:hanging="360"/>
      </w:pPr>
      <w:rPr>
        <w:rFonts w:ascii="Courier New" w:hAnsi="Courier New" w:hint="default"/>
      </w:rPr>
    </w:lvl>
    <w:lvl w:ilvl="8" w:tplc="CEBA67A6">
      <w:start w:val="1"/>
      <w:numFmt w:val="bullet"/>
      <w:lvlText w:val=""/>
      <w:lvlJc w:val="left"/>
      <w:pPr>
        <w:ind w:left="6480" w:hanging="360"/>
      </w:pPr>
      <w:rPr>
        <w:rFonts w:ascii="Wingdings" w:hAnsi="Wingdings" w:hint="default"/>
      </w:rPr>
    </w:lvl>
  </w:abstractNum>
  <w:abstractNum w:abstractNumId="14" w15:restartNumberingAfterBreak="0">
    <w:nsid w:val="607C377D"/>
    <w:multiLevelType w:val="multilevel"/>
    <w:tmpl w:val="5AAC0D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635F7FEB"/>
    <w:multiLevelType w:val="multilevel"/>
    <w:tmpl w:val="81C04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352411"/>
    <w:multiLevelType w:val="hybridMultilevel"/>
    <w:tmpl w:val="4B94C688"/>
    <w:lvl w:ilvl="0" w:tplc="D3FE6DB6">
      <w:start w:val="8"/>
      <w:numFmt w:val="bullet"/>
      <w:lvlText w:val=""/>
      <w:lvlJc w:val="left"/>
      <w:pPr>
        <w:ind w:left="720" w:hanging="360"/>
      </w:pPr>
      <w:rPr>
        <w:rFonts w:ascii="Symbol" w:eastAsia="Times New Roman"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736705874">
    <w:abstractNumId w:val="13"/>
  </w:num>
  <w:num w:numId="2" w16cid:durableId="718746214">
    <w:abstractNumId w:val="7"/>
  </w:num>
  <w:num w:numId="3" w16cid:durableId="274866141">
    <w:abstractNumId w:val="2"/>
  </w:num>
  <w:num w:numId="4" w16cid:durableId="1128621258">
    <w:abstractNumId w:val="12"/>
  </w:num>
  <w:num w:numId="5" w16cid:durableId="764955753">
    <w:abstractNumId w:val="15"/>
  </w:num>
  <w:num w:numId="6" w16cid:durableId="146285947">
    <w:abstractNumId w:val="16"/>
  </w:num>
  <w:num w:numId="7" w16cid:durableId="929003798">
    <w:abstractNumId w:val="11"/>
  </w:num>
  <w:num w:numId="8" w16cid:durableId="1219437575">
    <w:abstractNumId w:val="9"/>
  </w:num>
  <w:num w:numId="9" w16cid:durableId="1084573774">
    <w:abstractNumId w:val="3"/>
  </w:num>
  <w:num w:numId="10" w16cid:durableId="1715081322">
    <w:abstractNumId w:val="10"/>
  </w:num>
  <w:num w:numId="11" w16cid:durableId="123936298">
    <w:abstractNumId w:val="14"/>
  </w:num>
  <w:num w:numId="12" w16cid:durableId="28185737">
    <w:abstractNumId w:val="6"/>
  </w:num>
  <w:num w:numId="13" w16cid:durableId="1682927568">
    <w:abstractNumId w:val="1"/>
  </w:num>
  <w:num w:numId="14" w16cid:durableId="1392383532">
    <w:abstractNumId w:val="4"/>
  </w:num>
  <w:num w:numId="15" w16cid:durableId="1589734615">
    <w:abstractNumId w:val="0"/>
  </w:num>
  <w:num w:numId="16" w16cid:durableId="590700690">
    <w:abstractNumId w:val="5"/>
  </w:num>
  <w:num w:numId="17" w16cid:durableId="126900435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rin, Emilie (CHRC/CCDP)">
    <w15:presenceInfo w15:providerId="AD" w15:userId="S::Emilie.Morin@chrc-ccdp.gc.ca::347c6559-54c9-461e-b46e-2911ee0407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22"/>
    <w:rsid w:val="00006115"/>
    <w:rsid w:val="000200B0"/>
    <w:rsid w:val="00040FC9"/>
    <w:rsid w:val="00045774"/>
    <w:rsid w:val="00050CB8"/>
    <w:rsid w:val="00053B5F"/>
    <w:rsid w:val="0006700D"/>
    <w:rsid w:val="00077520"/>
    <w:rsid w:val="00080A88"/>
    <w:rsid w:val="000A738D"/>
    <w:rsid w:val="000B01AA"/>
    <w:rsid w:val="000B5062"/>
    <w:rsid w:val="000D2F98"/>
    <w:rsid w:val="000D4A9F"/>
    <w:rsid w:val="000E1866"/>
    <w:rsid w:val="000E29B6"/>
    <w:rsid w:val="000E7C81"/>
    <w:rsid w:val="000F29B7"/>
    <w:rsid w:val="000F3844"/>
    <w:rsid w:val="000F4D44"/>
    <w:rsid w:val="000F6A5B"/>
    <w:rsid w:val="000F78D5"/>
    <w:rsid w:val="00114EC3"/>
    <w:rsid w:val="00123E79"/>
    <w:rsid w:val="001335A9"/>
    <w:rsid w:val="00146D24"/>
    <w:rsid w:val="0015074E"/>
    <w:rsid w:val="0015513C"/>
    <w:rsid w:val="001555CC"/>
    <w:rsid w:val="00156CA8"/>
    <w:rsid w:val="00162715"/>
    <w:rsid w:val="00166CE8"/>
    <w:rsid w:val="001676D3"/>
    <w:rsid w:val="001916F2"/>
    <w:rsid w:val="001B428C"/>
    <w:rsid w:val="001C64BE"/>
    <w:rsid w:val="001D474B"/>
    <w:rsid w:val="001E3F31"/>
    <w:rsid w:val="001E4BE1"/>
    <w:rsid w:val="001E569C"/>
    <w:rsid w:val="00200EBE"/>
    <w:rsid w:val="00220C37"/>
    <w:rsid w:val="00223BD8"/>
    <w:rsid w:val="00236B90"/>
    <w:rsid w:val="00261A3E"/>
    <w:rsid w:val="002645CE"/>
    <w:rsid w:val="002646A8"/>
    <w:rsid w:val="0027026C"/>
    <w:rsid w:val="0027426B"/>
    <w:rsid w:val="0027624B"/>
    <w:rsid w:val="0028298E"/>
    <w:rsid w:val="002B34D9"/>
    <w:rsid w:val="002B683F"/>
    <w:rsid w:val="002C281A"/>
    <w:rsid w:val="002C3E9F"/>
    <w:rsid w:val="002E400C"/>
    <w:rsid w:val="003019B9"/>
    <w:rsid w:val="00332860"/>
    <w:rsid w:val="003437B3"/>
    <w:rsid w:val="0036073D"/>
    <w:rsid w:val="00360D93"/>
    <w:rsid w:val="00364B39"/>
    <w:rsid w:val="003666EC"/>
    <w:rsid w:val="00372014"/>
    <w:rsid w:val="00375CCE"/>
    <w:rsid w:val="00375E35"/>
    <w:rsid w:val="0038123C"/>
    <w:rsid w:val="003A15C1"/>
    <w:rsid w:val="003A44A0"/>
    <w:rsid w:val="003C37F4"/>
    <w:rsid w:val="003E4083"/>
    <w:rsid w:val="003F2672"/>
    <w:rsid w:val="003F7FDF"/>
    <w:rsid w:val="00411461"/>
    <w:rsid w:val="004219C3"/>
    <w:rsid w:val="00421B0B"/>
    <w:rsid w:val="00427F00"/>
    <w:rsid w:val="00436955"/>
    <w:rsid w:val="00462F55"/>
    <w:rsid w:val="00464A62"/>
    <w:rsid w:val="004735EA"/>
    <w:rsid w:val="00482B39"/>
    <w:rsid w:val="004853E2"/>
    <w:rsid w:val="00490BE7"/>
    <w:rsid w:val="004D4D08"/>
    <w:rsid w:val="004E44EA"/>
    <w:rsid w:val="004E5410"/>
    <w:rsid w:val="005007A7"/>
    <w:rsid w:val="005053E5"/>
    <w:rsid w:val="0051683F"/>
    <w:rsid w:val="005359FE"/>
    <w:rsid w:val="005409F4"/>
    <w:rsid w:val="00565B32"/>
    <w:rsid w:val="0057163B"/>
    <w:rsid w:val="0058390C"/>
    <w:rsid w:val="0058492A"/>
    <w:rsid w:val="005A7797"/>
    <w:rsid w:val="005B62BF"/>
    <w:rsid w:val="005C721C"/>
    <w:rsid w:val="005E21AE"/>
    <w:rsid w:val="005F4492"/>
    <w:rsid w:val="005F7838"/>
    <w:rsid w:val="00600EF2"/>
    <w:rsid w:val="00602BEA"/>
    <w:rsid w:val="006217DB"/>
    <w:rsid w:val="00626008"/>
    <w:rsid w:val="00633E1E"/>
    <w:rsid w:val="006451DE"/>
    <w:rsid w:val="00645673"/>
    <w:rsid w:val="00652358"/>
    <w:rsid w:val="006578C6"/>
    <w:rsid w:val="00662520"/>
    <w:rsid w:val="006A2897"/>
    <w:rsid w:val="006A62F6"/>
    <w:rsid w:val="006C442A"/>
    <w:rsid w:val="006C6927"/>
    <w:rsid w:val="006C7E47"/>
    <w:rsid w:val="006E428C"/>
    <w:rsid w:val="006E78D6"/>
    <w:rsid w:val="006F1240"/>
    <w:rsid w:val="006F3A42"/>
    <w:rsid w:val="007025BE"/>
    <w:rsid w:val="007025E7"/>
    <w:rsid w:val="00703753"/>
    <w:rsid w:val="00710E45"/>
    <w:rsid w:val="00745779"/>
    <w:rsid w:val="0076750C"/>
    <w:rsid w:val="007A0EAC"/>
    <w:rsid w:val="007A16A9"/>
    <w:rsid w:val="007A19A0"/>
    <w:rsid w:val="007A2FBC"/>
    <w:rsid w:val="007A602D"/>
    <w:rsid w:val="007B1FED"/>
    <w:rsid w:val="007B3572"/>
    <w:rsid w:val="007B6B2D"/>
    <w:rsid w:val="007C6546"/>
    <w:rsid w:val="007D099F"/>
    <w:rsid w:val="007D3532"/>
    <w:rsid w:val="007D7F3A"/>
    <w:rsid w:val="007E16CD"/>
    <w:rsid w:val="00820014"/>
    <w:rsid w:val="008248A0"/>
    <w:rsid w:val="00863831"/>
    <w:rsid w:val="0087484A"/>
    <w:rsid w:val="00894616"/>
    <w:rsid w:val="00896B66"/>
    <w:rsid w:val="00897AF8"/>
    <w:rsid w:val="008A565A"/>
    <w:rsid w:val="008B318F"/>
    <w:rsid w:val="008B4519"/>
    <w:rsid w:val="008B4E58"/>
    <w:rsid w:val="008B692A"/>
    <w:rsid w:val="008B78A5"/>
    <w:rsid w:val="008B7D0A"/>
    <w:rsid w:val="008C1C9B"/>
    <w:rsid w:val="008C3877"/>
    <w:rsid w:val="008D1FE8"/>
    <w:rsid w:val="008E3FA7"/>
    <w:rsid w:val="008F1176"/>
    <w:rsid w:val="00922E0E"/>
    <w:rsid w:val="009243D7"/>
    <w:rsid w:val="00927575"/>
    <w:rsid w:val="00943404"/>
    <w:rsid w:val="00953EAC"/>
    <w:rsid w:val="009635F5"/>
    <w:rsid w:val="00970F06"/>
    <w:rsid w:val="00975F9C"/>
    <w:rsid w:val="00977950"/>
    <w:rsid w:val="00992E33"/>
    <w:rsid w:val="009A4334"/>
    <w:rsid w:val="009B01CE"/>
    <w:rsid w:val="009B3130"/>
    <w:rsid w:val="009B7422"/>
    <w:rsid w:val="009C5679"/>
    <w:rsid w:val="009C6747"/>
    <w:rsid w:val="009D2266"/>
    <w:rsid w:val="009D28E9"/>
    <w:rsid w:val="009F07AF"/>
    <w:rsid w:val="00A00E49"/>
    <w:rsid w:val="00A1225B"/>
    <w:rsid w:val="00A37088"/>
    <w:rsid w:val="00A62692"/>
    <w:rsid w:val="00A66B41"/>
    <w:rsid w:val="00A66CA9"/>
    <w:rsid w:val="00A7798D"/>
    <w:rsid w:val="00A92D60"/>
    <w:rsid w:val="00A957F3"/>
    <w:rsid w:val="00A973F2"/>
    <w:rsid w:val="00AA6C81"/>
    <w:rsid w:val="00AC5E7F"/>
    <w:rsid w:val="00AE15F1"/>
    <w:rsid w:val="00B02332"/>
    <w:rsid w:val="00B04C04"/>
    <w:rsid w:val="00B07F47"/>
    <w:rsid w:val="00B2006A"/>
    <w:rsid w:val="00B22C45"/>
    <w:rsid w:val="00B24B10"/>
    <w:rsid w:val="00B351E5"/>
    <w:rsid w:val="00B369A2"/>
    <w:rsid w:val="00B375EF"/>
    <w:rsid w:val="00B4630B"/>
    <w:rsid w:val="00B51624"/>
    <w:rsid w:val="00B649DF"/>
    <w:rsid w:val="00B77D43"/>
    <w:rsid w:val="00B81508"/>
    <w:rsid w:val="00BA7E7C"/>
    <w:rsid w:val="00BB1AF4"/>
    <w:rsid w:val="00BB3680"/>
    <w:rsid w:val="00BB6854"/>
    <w:rsid w:val="00BC34C0"/>
    <w:rsid w:val="00BC7374"/>
    <w:rsid w:val="00BC749E"/>
    <w:rsid w:val="00BD0C5C"/>
    <w:rsid w:val="00BE4C0A"/>
    <w:rsid w:val="00BE75CB"/>
    <w:rsid w:val="00BF5B88"/>
    <w:rsid w:val="00BF64A3"/>
    <w:rsid w:val="00C211FF"/>
    <w:rsid w:val="00C363F8"/>
    <w:rsid w:val="00C36954"/>
    <w:rsid w:val="00C63653"/>
    <w:rsid w:val="00C87249"/>
    <w:rsid w:val="00C907DD"/>
    <w:rsid w:val="00C943CD"/>
    <w:rsid w:val="00CA3A79"/>
    <w:rsid w:val="00CA775A"/>
    <w:rsid w:val="00CC053E"/>
    <w:rsid w:val="00CC1DD4"/>
    <w:rsid w:val="00D05115"/>
    <w:rsid w:val="00D27389"/>
    <w:rsid w:val="00D3517B"/>
    <w:rsid w:val="00D36C5D"/>
    <w:rsid w:val="00D44DC9"/>
    <w:rsid w:val="00D47EEB"/>
    <w:rsid w:val="00D6030E"/>
    <w:rsid w:val="00D628DC"/>
    <w:rsid w:val="00D6319D"/>
    <w:rsid w:val="00D631D2"/>
    <w:rsid w:val="00D74730"/>
    <w:rsid w:val="00D7798C"/>
    <w:rsid w:val="00D83F4A"/>
    <w:rsid w:val="00D9669B"/>
    <w:rsid w:val="00DA30CC"/>
    <w:rsid w:val="00DA62AE"/>
    <w:rsid w:val="00DB7B03"/>
    <w:rsid w:val="00DC79EC"/>
    <w:rsid w:val="00DD073F"/>
    <w:rsid w:val="00DF1143"/>
    <w:rsid w:val="00E037C1"/>
    <w:rsid w:val="00E05DB9"/>
    <w:rsid w:val="00E06960"/>
    <w:rsid w:val="00E07665"/>
    <w:rsid w:val="00E178EB"/>
    <w:rsid w:val="00E215A9"/>
    <w:rsid w:val="00E32FE8"/>
    <w:rsid w:val="00E37822"/>
    <w:rsid w:val="00E46162"/>
    <w:rsid w:val="00E5543C"/>
    <w:rsid w:val="00E610F5"/>
    <w:rsid w:val="00E641D0"/>
    <w:rsid w:val="00E6635F"/>
    <w:rsid w:val="00E6685C"/>
    <w:rsid w:val="00E81DF0"/>
    <w:rsid w:val="00E82068"/>
    <w:rsid w:val="00E86CAF"/>
    <w:rsid w:val="00E95B17"/>
    <w:rsid w:val="00EB2447"/>
    <w:rsid w:val="00EC0443"/>
    <w:rsid w:val="00EC0B52"/>
    <w:rsid w:val="00EE7C65"/>
    <w:rsid w:val="00F05773"/>
    <w:rsid w:val="00F05916"/>
    <w:rsid w:val="00F4246F"/>
    <w:rsid w:val="00F63F3C"/>
    <w:rsid w:val="00F6529B"/>
    <w:rsid w:val="00F844CF"/>
    <w:rsid w:val="00F9136E"/>
    <w:rsid w:val="00F95BDA"/>
    <w:rsid w:val="00FA2740"/>
    <w:rsid w:val="00FB039D"/>
    <w:rsid w:val="00FB2FCF"/>
    <w:rsid w:val="00FC5F5B"/>
    <w:rsid w:val="00FD22C6"/>
    <w:rsid w:val="00FD2838"/>
    <w:rsid w:val="00FE05FB"/>
    <w:rsid w:val="00FE163B"/>
    <w:rsid w:val="00FE4876"/>
    <w:rsid w:val="00FE773B"/>
    <w:rsid w:val="00FF7E33"/>
    <w:rsid w:val="079CA8FC"/>
    <w:rsid w:val="182CAB85"/>
    <w:rsid w:val="1B267AC4"/>
    <w:rsid w:val="1C013BBD"/>
    <w:rsid w:val="20F858A9"/>
    <w:rsid w:val="236E93E3"/>
    <w:rsid w:val="2D53C4BE"/>
    <w:rsid w:val="3001068D"/>
    <w:rsid w:val="30113C72"/>
    <w:rsid w:val="38B25A7A"/>
    <w:rsid w:val="39F89387"/>
    <w:rsid w:val="3B8FD181"/>
    <w:rsid w:val="44D38860"/>
    <w:rsid w:val="48197981"/>
    <w:rsid w:val="4A93418B"/>
    <w:rsid w:val="529AC6A0"/>
    <w:rsid w:val="5A77AC13"/>
    <w:rsid w:val="5AA620EE"/>
    <w:rsid w:val="611D078F"/>
    <w:rsid w:val="6454A851"/>
    <w:rsid w:val="65F078B2"/>
    <w:rsid w:val="696423AA"/>
    <w:rsid w:val="70DFFC8D"/>
    <w:rsid w:val="7BB4A83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AECEE"/>
  <w15:chartTrackingRefBased/>
  <w15:docId w15:val="{90B1D0E3-4C95-49C3-BD05-73866EE5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492"/>
    <w:pPr>
      <w:spacing w:after="0" w:line="240" w:lineRule="auto"/>
    </w:pPr>
    <w:rPr>
      <w:rFonts w:ascii="Arial" w:eastAsia="Times New Roman" w:hAnsi="Arial" w:cs="Arial"/>
      <w:sz w:val="24"/>
      <w:szCs w:val="24"/>
      <w:lang w:val="fr-CA"/>
    </w:rPr>
  </w:style>
  <w:style w:type="paragraph" w:styleId="Heading1">
    <w:name w:val="heading 1"/>
    <w:basedOn w:val="Normal"/>
    <w:next w:val="Normal"/>
    <w:link w:val="Heading1Char"/>
    <w:uiPriority w:val="9"/>
    <w:qFormat/>
    <w:rsid w:val="00E37822"/>
    <w:pPr>
      <w:keepNext/>
      <w:keepLines/>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7B03"/>
    <w:pPr>
      <w:keepNext/>
      <w:keepLines/>
      <w:spacing w:before="40"/>
      <w:outlineLvl w:val="1"/>
    </w:pPr>
    <w:rPr>
      <w:rFonts w:eastAsia="Arial" w:cstheme="majorBidi"/>
      <w:b/>
      <w:noProof/>
      <w:sz w:val="32"/>
      <w:szCs w:val="32"/>
      <w:lang w:val="en-CA" w:bidi="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822"/>
    <w:rPr>
      <w:rFonts w:ascii="Arial" w:eastAsiaTheme="majorEastAsia" w:hAnsi="Arial" w:cstheme="majorBidi"/>
      <w:color w:val="2E74B5" w:themeColor="accent1" w:themeShade="BF"/>
      <w:sz w:val="32"/>
      <w:szCs w:val="32"/>
      <w:lang w:val="fr-CA"/>
    </w:rPr>
  </w:style>
  <w:style w:type="character" w:customStyle="1" w:styleId="Heading2Char">
    <w:name w:val="Heading 2 Char"/>
    <w:basedOn w:val="DefaultParagraphFont"/>
    <w:link w:val="Heading2"/>
    <w:uiPriority w:val="9"/>
    <w:rsid w:val="00DB7B03"/>
    <w:rPr>
      <w:rFonts w:ascii="Arial" w:eastAsia="Arial" w:hAnsi="Arial" w:cstheme="majorBidi"/>
      <w:b/>
      <w:noProof/>
      <w:sz w:val="32"/>
      <w:szCs w:val="32"/>
      <w:lang w:bidi="en-CA"/>
    </w:rPr>
  </w:style>
  <w:style w:type="paragraph" w:styleId="Header">
    <w:name w:val="header"/>
    <w:basedOn w:val="Normal"/>
    <w:link w:val="HeaderChar"/>
    <w:uiPriority w:val="99"/>
    <w:rsid w:val="00E37822"/>
    <w:pPr>
      <w:tabs>
        <w:tab w:val="center" w:pos="4320"/>
        <w:tab w:val="right" w:pos="8640"/>
      </w:tabs>
    </w:pPr>
  </w:style>
  <w:style w:type="character" w:customStyle="1" w:styleId="HeaderChar">
    <w:name w:val="Header Char"/>
    <w:basedOn w:val="DefaultParagraphFont"/>
    <w:link w:val="Header"/>
    <w:uiPriority w:val="99"/>
    <w:rsid w:val="00E37822"/>
    <w:rPr>
      <w:rFonts w:ascii="Arial" w:eastAsia="Times New Roman" w:hAnsi="Arial" w:cs="Arial"/>
      <w:sz w:val="24"/>
      <w:szCs w:val="24"/>
      <w:lang w:val="fr-CA"/>
    </w:rPr>
  </w:style>
  <w:style w:type="paragraph" w:styleId="Footer">
    <w:name w:val="footer"/>
    <w:basedOn w:val="Normal"/>
    <w:link w:val="FooterChar"/>
    <w:uiPriority w:val="99"/>
    <w:rsid w:val="00E37822"/>
    <w:pPr>
      <w:tabs>
        <w:tab w:val="center" w:pos="4320"/>
        <w:tab w:val="right" w:pos="8640"/>
      </w:tabs>
    </w:pPr>
  </w:style>
  <w:style w:type="character" w:customStyle="1" w:styleId="FooterChar">
    <w:name w:val="Footer Char"/>
    <w:basedOn w:val="DefaultParagraphFont"/>
    <w:link w:val="Footer"/>
    <w:uiPriority w:val="99"/>
    <w:rsid w:val="00E37822"/>
    <w:rPr>
      <w:rFonts w:ascii="Arial" w:eastAsia="Times New Roman" w:hAnsi="Arial" w:cs="Arial"/>
      <w:sz w:val="24"/>
      <w:szCs w:val="24"/>
      <w:lang w:val="fr-CA"/>
    </w:rPr>
  </w:style>
  <w:style w:type="paragraph" w:customStyle="1" w:styleId="ResolutionsServices-English">
    <w:name w:val="Resolutions Services - English"/>
    <w:basedOn w:val="Normal"/>
    <w:link w:val="ResolutionsServices-EnglishChar"/>
    <w:qFormat/>
    <w:rsid w:val="00E37822"/>
    <w:rPr>
      <w:i/>
      <w:iCs/>
      <w:sz w:val="16"/>
    </w:rPr>
  </w:style>
  <w:style w:type="character" w:customStyle="1" w:styleId="ResolutionsServices-EnglishChar">
    <w:name w:val="Resolutions Services - English Char"/>
    <w:basedOn w:val="DefaultParagraphFont"/>
    <w:link w:val="ResolutionsServices-English"/>
    <w:rsid w:val="00E37822"/>
    <w:rPr>
      <w:rFonts w:ascii="Arial" w:eastAsia="Times New Roman" w:hAnsi="Arial" w:cs="Arial"/>
      <w:i/>
      <w:iCs/>
      <w:sz w:val="16"/>
      <w:szCs w:val="24"/>
      <w:lang w:val="fr-CA"/>
    </w:rPr>
  </w:style>
  <w:style w:type="character" w:styleId="Hyperlink">
    <w:name w:val="Hyperlink"/>
    <w:basedOn w:val="DefaultParagraphFont"/>
    <w:uiPriority w:val="99"/>
    <w:unhideWhenUsed/>
    <w:rsid w:val="00E37822"/>
    <w:rPr>
      <w:color w:val="0000FF"/>
      <w:u w:val="single"/>
    </w:rPr>
  </w:style>
  <w:style w:type="paragraph" w:styleId="ListParagraph">
    <w:name w:val="List Paragraph"/>
    <w:basedOn w:val="Normal"/>
    <w:uiPriority w:val="34"/>
    <w:qFormat/>
    <w:rsid w:val="00E37822"/>
    <w:pPr>
      <w:ind w:left="720"/>
      <w:contextualSpacing/>
    </w:pPr>
  </w:style>
  <w:style w:type="character" w:styleId="PlaceholderText">
    <w:name w:val="Placeholder Text"/>
    <w:basedOn w:val="DefaultParagraphFont"/>
    <w:uiPriority w:val="99"/>
    <w:semiHidden/>
    <w:rsid w:val="00E37822"/>
    <w:rPr>
      <w:color w:val="808080"/>
    </w:rPr>
  </w:style>
  <w:style w:type="character" w:customStyle="1" w:styleId="normaltextrun">
    <w:name w:val="normaltextrun"/>
    <w:basedOn w:val="DefaultParagraphFont"/>
    <w:rsid w:val="00E37822"/>
  </w:style>
  <w:style w:type="character" w:customStyle="1" w:styleId="eop">
    <w:name w:val="eop"/>
    <w:basedOn w:val="DefaultParagraphFont"/>
    <w:rsid w:val="00E37822"/>
  </w:style>
  <w:style w:type="paragraph" w:customStyle="1" w:styleId="paragraph">
    <w:name w:val="paragraph"/>
    <w:basedOn w:val="Normal"/>
    <w:rsid w:val="00E37822"/>
    <w:pPr>
      <w:spacing w:before="100" w:beforeAutospacing="1" w:after="100" w:afterAutospacing="1"/>
    </w:pPr>
    <w:rPr>
      <w:rFonts w:ascii="Times New Roman" w:hAnsi="Times New Roman" w:cs="Times New Roman"/>
      <w:lang w:val="en-CA" w:eastAsia="en-CA"/>
    </w:rPr>
  </w:style>
  <w:style w:type="character" w:styleId="CommentReference">
    <w:name w:val="annotation reference"/>
    <w:basedOn w:val="DefaultParagraphFont"/>
    <w:uiPriority w:val="99"/>
    <w:semiHidden/>
    <w:unhideWhenUsed/>
    <w:rsid w:val="0027426B"/>
    <w:rPr>
      <w:sz w:val="16"/>
      <w:szCs w:val="16"/>
    </w:rPr>
  </w:style>
  <w:style w:type="paragraph" w:styleId="CommentText">
    <w:name w:val="annotation text"/>
    <w:basedOn w:val="Normal"/>
    <w:link w:val="CommentTextChar"/>
    <w:uiPriority w:val="99"/>
    <w:unhideWhenUsed/>
    <w:rsid w:val="0027426B"/>
    <w:rPr>
      <w:sz w:val="20"/>
      <w:szCs w:val="20"/>
    </w:rPr>
  </w:style>
  <w:style w:type="character" w:customStyle="1" w:styleId="CommentTextChar">
    <w:name w:val="Comment Text Char"/>
    <w:basedOn w:val="DefaultParagraphFont"/>
    <w:link w:val="CommentText"/>
    <w:uiPriority w:val="99"/>
    <w:rsid w:val="0027426B"/>
    <w:rPr>
      <w:rFonts w:ascii="Arial" w:eastAsia="Times New Roman" w:hAnsi="Arial" w:cs="Arial"/>
      <w:sz w:val="20"/>
      <w:szCs w:val="20"/>
      <w:lang w:val="fr-CA"/>
    </w:rPr>
  </w:style>
  <w:style w:type="paragraph" w:styleId="CommentSubject">
    <w:name w:val="annotation subject"/>
    <w:basedOn w:val="CommentText"/>
    <w:next w:val="CommentText"/>
    <w:link w:val="CommentSubjectChar"/>
    <w:uiPriority w:val="99"/>
    <w:semiHidden/>
    <w:unhideWhenUsed/>
    <w:rsid w:val="0027426B"/>
    <w:rPr>
      <w:b/>
      <w:bCs/>
    </w:rPr>
  </w:style>
  <w:style w:type="character" w:customStyle="1" w:styleId="CommentSubjectChar">
    <w:name w:val="Comment Subject Char"/>
    <w:basedOn w:val="CommentTextChar"/>
    <w:link w:val="CommentSubject"/>
    <w:uiPriority w:val="99"/>
    <w:semiHidden/>
    <w:rsid w:val="0027426B"/>
    <w:rPr>
      <w:rFonts w:ascii="Arial" w:eastAsia="Times New Roman" w:hAnsi="Arial" w:cs="Arial"/>
      <w:b/>
      <w:bCs/>
      <w:sz w:val="20"/>
      <w:szCs w:val="20"/>
      <w:lang w:val="fr-CA"/>
    </w:rPr>
  </w:style>
  <w:style w:type="paragraph" w:styleId="BalloonText">
    <w:name w:val="Balloon Text"/>
    <w:basedOn w:val="Normal"/>
    <w:link w:val="BalloonTextChar"/>
    <w:uiPriority w:val="99"/>
    <w:semiHidden/>
    <w:unhideWhenUsed/>
    <w:rsid w:val="00274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26B"/>
    <w:rPr>
      <w:rFonts w:ascii="Segoe UI" w:eastAsia="Times New Roman" w:hAnsi="Segoe UI" w:cs="Segoe UI"/>
      <w:sz w:val="18"/>
      <w:szCs w:val="18"/>
      <w:lang w:val="fr-CA"/>
    </w:rPr>
  </w:style>
  <w:style w:type="paragraph" w:customStyle="1" w:styleId="subsection">
    <w:name w:val="subsection"/>
    <w:basedOn w:val="Normal"/>
    <w:rsid w:val="009C5679"/>
    <w:pPr>
      <w:spacing w:before="100" w:beforeAutospacing="1" w:after="100" w:afterAutospacing="1"/>
    </w:pPr>
    <w:rPr>
      <w:rFonts w:ascii="Times New Roman" w:hAnsi="Times New Roman" w:cs="Times New Roman"/>
      <w:lang w:val="en-CA" w:eastAsia="en-CA"/>
    </w:rPr>
  </w:style>
  <w:style w:type="character" w:customStyle="1" w:styleId="sectionlabel">
    <w:name w:val="sectionlabel"/>
    <w:basedOn w:val="DefaultParagraphFont"/>
    <w:rsid w:val="009C5679"/>
  </w:style>
  <w:style w:type="character" w:customStyle="1" w:styleId="lawlabel">
    <w:name w:val="lawlabel"/>
    <w:basedOn w:val="DefaultParagraphFont"/>
    <w:rsid w:val="009C5679"/>
  </w:style>
  <w:style w:type="paragraph" w:customStyle="1" w:styleId="subparagraph">
    <w:name w:val="subparagraph"/>
    <w:basedOn w:val="Normal"/>
    <w:rsid w:val="009C5679"/>
    <w:pPr>
      <w:spacing w:before="100" w:beforeAutospacing="1" w:after="100" w:afterAutospacing="1"/>
    </w:pPr>
    <w:rPr>
      <w:rFonts w:ascii="Times New Roman" w:hAnsi="Times New Roman" w:cs="Times New Roman"/>
      <w:lang w:val="en-CA" w:eastAsia="en-CA"/>
    </w:rPr>
  </w:style>
  <w:style w:type="paragraph" w:styleId="NoSpacing">
    <w:name w:val="No Spacing"/>
    <w:uiPriority w:val="1"/>
    <w:qFormat/>
    <w:rsid w:val="001335A9"/>
    <w:pPr>
      <w:spacing w:after="0" w:line="240" w:lineRule="auto"/>
    </w:pPr>
    <w:rPr>
      <w:rFonts w:ascii="Calibri" w:eastAsia="Calibri" w:hAnsi="Calibri" w:cs="Times New Roman"/>
      <w:lang w:val="fr-CA"/>
    </w:rPr>
  </w:style>
  <w:style w:type="table" w:styleId="TableGrid">
    <w:name w:val="Table Grid"/>
    <w:basedOn w:val="TableNormal"/>
    <w:uiPriority w:val="39"/>
    <w:rsid w:val="00662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4083"/>
    <w:pPr>
      <w:spacing w:after="0" w:line="240" w:lineRule="auto"/>
    </w:pPr>
    <w:rPr>
      <w:rFonts w:ascii="Arial" w:eastAsia="Times New Roman" w:hAnsi="Arial" w:cs="Arial"/>
      <w:sz w:val="24"/>
      <w:szCs w:val="24"/>
      <w:lang w:val="fr-CA"/>
    </w:rPr>
  </w:style>
  <w:style w:type="character" w:customStyle="1" w:styleId="contentcontrolboundarysink">
    <w:name w:val="contentcontrolboundarysink"/>
    <w:basedOn w:val="DefaultParagraphFont"/>
    <w:rsid w:val="004E44EA"/>
  </w:style>
  <w:style w:type="character" w:styleId="UnresolvedMention">
    <w:name w:val="Unresolved Mention"/>
    <w:basedOn w:val="DefaultParagraphFont"/>
    <w:uiPriority w:val="99"/>
    <w:semiHidden/>
    <w:unhideWhenUsed/>
    <w:rsid w:val="00600EF2"/>
    <w:rPr>
      <w:color w:val="605E5C"/>
      <w:shd w:val="clear" w:color="auto" w:fill="E1DFDD"/>
    </w:rPr>
  </w:style>
  <w:style w:type="character" w:styleId="FollowedHyperlink">
    <w:name w:val="FollowedHyperlink"/>
    <w:basedOn w:val="DefaultParagraphFont"/>
    <w:uiPriority w:val="99"/>
    <w:semiHidden/>
    <w:unhideWhenUsed/>
    <w:rsid w:val="003019B9"/>
    <w:rPr>
      <w:color w:val="954F72" w:themeColor="followedHyperlink"/>
      <w:u w:val="single"/>
    </w:rPr>
  </w:style>
  <w:style w:type="paragraph" w:styleId="EndnoteText">
    <w:name w:val="endnote text"/>
    <w:basedOn w:val="Normal"/>
    <w:link w:val="EndnoteTextChar"/>
    <w:uiPriority w:val="99"/>
    <w:semiHidden/>
    <w:unhideWhenUsed/>
    <w:rsid w:val="00364B39"/>
    <w:rPr>
      <w:rFonts w:eastAsiaTheme="minorHAnsi" w:cstheme="minorBidi"/>
      <w:sz w:val="20"/>
      <w:szCs w:val="20"/>
      <w:lang w:val="en-CA"/>
    </w:rPr>
  </w:style>
  <w:style w:type="character" w:customStyle="1" w:styleId="EndnoteTextChar">
    <w:name w:val="Endnote Text Char"/>
    <w:basedOn w:val="DefaultParagraphFont"/>
    <w:link w:val="EndnoteText"/>
    <w:uiPriority w:val="99"/>
    <w:semiHidden/>
    <w:rsid w:val="00364B39"/>
    <w:rPr>
      <w:rFonts w:ascii="Arial" w:hAnsi="Arial"/>
      <w:sz w:val="20"/>
      <w:szCs w:val="20"/>
    </w:rPr>
  </w:style>
  <w:style w:type="character" w:styleId="EndnoteReference">
    <w:name w:val="endnote reference"/>
    <w:basedOn w:val="DefaultParagraphFont"/>
    <w:uiPriority w:val="99"/>
    <w:semiHidden/>
    <w:unhideWhenUsed/>
    <w:rsid w:val="00364B39"/>
    <w:rPr>
      <w:vertAlign w:val="superscript"/>
    </w:rPr>
  </w:style>
  <w:style w:type="character" w:styleId="Strong">
    <w:name w:val="Strong"/>
    <w:basedOn w:val="DefaultParagraphFont"/>
    <w:uiPriority w:val="22"/>
    <w:qFormat/>
    <w:rsid w:val="00FD2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19323">
      <w:bodyDiv w:val="1"/>
      <w:marLeft w:val="0"/>
      <w:marRight w:val="0"/>
      <w:marTop w:val="0"/>
      <w:marBottom w:val="0"/>
      <w:divBdr>
        <w:top w:val="none" w:sz="0" w:space="0" w:color="auto"/>
        <w:left w:val="none" w:sz="0" w:space="0" w:color="auto"/>
        <w:bottom w:val="none" w:sz="0" w:space="0" w:color="auto"/>
        <w:right w:val="none" w:sz="0" w:space="0" w:color="auto"/>
      </w:divBdr>
    </w:div>
    <w:div w:id="868759779">
      <w:bodyDiv w:val="1"/>
      <w:marLeft w:val="0"/>
      <w:marRight w:val="0"/>
      <w:marTop w:val="0"/>
      <w:marBottom w:val="0"/>
      <w:divBdr>
        <w:top w:val="none" w:sz="0" w:space="0" w:color="auto"/>
        <w:left w:val="none" w:sz="0" w:space="0" w:color="auto"/>
        <w:bottom w:val="none" w:sz="0" w:space="0" w:color="auto"/>
        <w:right w:val="none" w:sz="0" w:space="0" w:color="auto"/>
      </w:divBdr>
    </w:div>
    <w:div w:id="147483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858</Words>
  <Characters>4894</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 Not for distribution</vt:lpstr>
      <vt:lpstr>DRAFT – Not for distribution</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Not for distribution</dc:title>
  <dc:subject/>
  <dc:creator>Rosalie Dumont</dc:creator>
  <cp:keywords/>
  <dc:description/>
  <cp:lastModifiedBy>Popowicz-Soni, Amanda (CHRC/CCDP)</cp:lastModifiedBy>
  <cp:revision>4</cp:revision>
  <dcterms:created xsi:type="dcterms:W3CDTF">2024-06-18T11:14:00Z</dcterms:created>
  <dcterms:modified xsi:type="dcterms:W3CDTF">2024-07-03T22:51:00Z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