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1A7B9" w14:textId="5B6300E2" w:rsidR="007D3532" w:rsidRPr="006500F2" w:rsidRDefault="008C3877" w:rsidP="007D3532">
      <w:r w:rsidRPr="006500F2">
        <w:t>[</w:t>
      </w:r>
      <w:r w:rsidR="006500F2" w:rsidRPr="006500F2">
        <w:t>Vous trouverez ci-dessous un gabarit d</w:t>
      </w:r>
      <w:r w:rsidR="003B08ED">
        <w:t>’avis</w:t>
      </w:r>
      <w:r w:rsidR="006500F2" w:rsidRPr="006500F2">
        <w:t xml:space="preserve"> que les employeurs peuvent utiliser. Il est personnalisable. </w:t>
      </w:r>
      <w:r w:rsidR="00B47C81">
        <w:t>Il suffit de suivre les instructions entre parenthèses, de les supprimer lorsque vous a</w:t>
      </w:r>
      <w:r w:rsidR="00765972">
        <w:t>ur</w:t>
      </w:r>
      <w:r w:rsidR="00B47C81">
        <w:t>ez terminé, de cliquer sur les zones où vous pouvez compléter les informations, de personnaliser les tableaux, d’ajouter votre propre texte, etc.]</w:t>
      </w:r>
    </w:p>
    <w:p w14:paraId="4B4FE059" w14:textId="77777777" w:rsidR="008C3877" w:rsidRPr="006500F2" w:rsidRDefault="008C3877" w:rsidP="007D3532"/>
    <w:p w14:paraId="62F9966D" w14:textId="570C029A" w:rsidR="00E37822" w:rsidRPr="006500F2" w:rsidRDefault="009C5679" w:rsidP="00D47EEB">
      <w:pPr>
        <w:pStyle w:val="Heading1"/>
        <w:spacing w:before="0"/>
        <w:rPr>
          <w:b/>
          <w:color w:val="auto"/>
          <w:sz w:val="28"/>
          <w:szCs w:val="24"/>
        </w:rPr>
      </w:pPr>
      <w:r w:rsidRPr="006500F2">
        <w:rPr>
          <w:b/>
          <w:color w:val="auto"/>
          <w:sz w:val="28"/>
        </w:rPr>
        <w:t>N</w:t>
      </w:r>
      <w:r w:rsidR="00B47C81">
        <w:rPr>
          <w:b/>
          <w:color w:val="auto"/>
          <w:sz w:val="28"/>
        </w:rPr>
        <w:t>om de l’organisation</w:t>
      </w:r>
      <w:r w:rsidR="00E81DF0" w:rsidRPr="006500F2">
        <w:rPr>
          <w:b/>
          <w:color w:val="auto"/>
          <w:sz w:val="28"/>
        </w:rPr>
        <w:t>:</w:t>
      </w:r>
      <w:r w:rsidR="000E1C12">
        <w:rPr>
          <w:b/>
          <w:color w:val="auto"/>
          <w:sz w:val="28"/>
        </w:rPr>
        <w:t xml:space="preserve"> [Indiquez le nom de l’employeur ici]</w:t>
      </w:r>
      <w:r w:rsidR="00E37822" w:rsidRPr="006500F2">
        <w:rPr>
          <w:b/>
          <w:color w:val="auto"/>
          <w:sz w:val="28"/>
        </w:rPr>
        <w:t xml:space="preserve"> </w:t>
      </w:r>
    </w:p>
    <w:p w14:paraId="1C0CC62A" w14:textId="77777777" w:rsidR="00E37822" w:rsidRPr="006500F2" w:rsidRDefault="00E37822" w:rsidP="00897AF8">
      <w:pPr>
        <w:jc w:val="center"/>
      </w:pPr>
    </w:p>
    <w:p w14:paraId="7528E9BA" w14:textId="179C5854" w:rsidR="00E37822" w:rsidRDefault="00B47C81" w:rsidP="00BB3680">
      <w:pPr>
        <w:pStyle w:val="Heading1"/>
        <w:spacing w:after="120"/>
        <w:rPr>
          <w:b/>
        </w:rPr>
      </w:pPr>
      <w:r>
        <w:rPr>
          <w:b/>
        </w:rPr>
        <w:t>AVIS</w:t>
      </w:r>
      <w:r w:rsidR="009C5679" w:rsidRPr="006500F2">
        <w:rPr>
          <w:b/>
        </w:rPr>
        <w:t xml:space="preserve"> </w:t>
      </w:r>
      <w:r>
        <w:rPr>
          <w:b/>
        </w:rPr>
        <w:t>–</w:t>
      </w:r>
      <w:r w:rsidR="009F07AF" w:rsidRPr="006500F2">
        <w:rPr>
          <w:b/>
        </w:rPr>
        <w:t xml:space="preserve"> </w:t>
      </w:r>
      <w:r>
        <w:rPr>
          <w:b/>
        </w:rPr>
        <w:t>AUGMENTER LA RÉMUNÉRATION</w:t>
      </w:r>
    </w:p>
    <w:p w14:paraId="034A394B" w14:textId="77777777" w:rsidR="000E1C12" w:rsidRDefault="000E1C12" w:rsidP="000E1C12"/>
    <w:p w14:paraId="7963FD87" w14:textId="27A9444A" w:rsidR="000E1C12" w:rsidRPr="000E1C12" w:rsidRDefault="000E1C12" w:rsidP="000E1C12">
      <w:r>
        <w:rPr>
          <w:b/>
          <w:sz w:val="32"/>
          <w:szCs w:val="32"/>
        </w:rPr>
        <w:t>Date d’affichage</w:t>
      </w:r>
      <w:r w:rsidRPr="006500F2">
        <w:rPr>
          <w:b/>
          <w:sz w:val="32"/>
          <w:szCs w:val="32"/>
        </w:rPr>
        <w:t>:</w:t>
      </w:r>
      <w:r w:rsidR="004E6CD2">
        <w:rPr>
          <w:b/>
          <w:sz w:val="32"/>
          <w:szCs w:val="32"/>
        </w:rPr>
        <w:t xml:space="preserve"> [Insérez la date ici]</w:t>
      </w:r>
    </w:p>
    <w:p w14:paraId="2B89681F" w14:textId="53DA48B5" w:rsidR="008C3877" w:rsidRPr="006500F2" w:rsidRDefault="008C3877" w:rsidP="008C3877">
      <w:pPr>
        <w:spacing w:before="120" w:after="240"/>
        <w:rPr>
          <w:rFonts w:eastAsia="Arial"/>
          <w:b/>
          <w:bCs/>
          <w:sz w:val="28"/>
          <w:szCs w:val="28"/>
          <w:lang w:bidi="en-CA"/>
        </w:rPr>
      </w:pPr>
    </w:p>
    <w:p w14:paraId="42C699B1" w14:textId="7E1CE17D" w:rsidR="00B47C81" w:rsidRPr="00B47C81" w:rsidRDefault="00B47C81" w:rsidP="00B47C81">
      <w:pPr>
        <w:spacing w:after="240"/>
        <w:rPr>
          <w:rFonts w:eastAsia="Arial"/>
          <w:sz w:val="28"/>
          <w:szCs w:val="28"/>
          <w:lang w:bidi="en-CA"/>
        </w:rPr>
      </w:pPr>
      <w:r>
        <w:rPr>
          <w:rFonts w:eastAsia="Arial"/>
          <w:b/>
          <w:bCs/>
          <w:sz w:val="28"/>
          <w:szCs w:val="28"/>
          <w:lang w:bidi="en-CA"/>
        </w:rPr>
        <w:t xml:space="preserve">L’objectif </w:t>
      </w:r>
      <w:r>
        <w:rPr>
          <w:rFonts w:eastAsia="Arial"/>
          <w:sz w:val="28"/>
          <w:szCs w:val="28"/>
          <w:lang w:bidi="en-CA"/>
        </w:rPr>
        <w:t xml:space="preserve">de cet avis est </w:t>
      </w:r>
      <w:r w:rsidRPr="00B47C81">
        <w:rPr>
          <w:rFonts w:eastAsia="Arial"/>
          <w:sz w:val="28"/>
          <w:szCs w:val="28"/>
          <w:lang w:bidi="en-CA"/>
        </w:rPr>
        <w:t xml:space="preserve">d'informer les employés des augmentations de rémunération dues aux catégories d'emploi à prédominance féminine et de répondre aux exigences législatives de l'article 56 de la </w:t>
      </w:r>
      <w:r w:rsidRPr="000E3B82">
        <w:rPr>
          <w:rFonts w:eastAsia="Arial"/>
          <w:sz w:val="28"/>
          <w:szCs w:val="28"/>
          <w:lang w:bidi="en-CA"/>
        </w:rPr>
        <w:t>Loi sur l'équité salariale</w:t>
      </w:r>
      <w:r w:rsidRPr="00B47C81">
        <w:rPr>
          <w:rFonts w:eastAsia="Arial"/>
          <w:sz w:val="28"/>
          <w:szCs w:val="28"/>
          <w:lang w:bidi="en-CA"/>
        </w:rPr>
        <w:t xml:space="preserve"> </w:t>
      </w:r>
      <w:r w:rsidR="00C91179">
        <w:rPr>
          <w:rFonts w:eastAsia="Arial"/>
          <w:sz w:val="28"/>
          <w:szCs w:val="28"/>
          <w:lang w:bidi="en-CA"/>
        </w:rPr>
        <w:t>(la</w:t>
      </w:r>
      <w:r w:rsidRPr="00C91179">
        <w:rPr>
          <w:rFonts w:eastAsia="Arial"/>
          <w:i/>
          <w:iCs/>
          <w:sz w:val="28"/>
          <w:szCs w:val="28"/>
          <w:lang w:bidi="en-CA"/>
        </w:rPr>
        <w:t xml:space="preserve"> </w:t>
      </w:r>
      <w:r w:rsidRPr="000E3B82">
        <w:rPr>
          <w:rFonts w:eastAsia="Arial"/>
          <w:sz w:val="28"/>
          <w:szCs w:val="28"/>
          <w:lang w:bidi="en-CA"/>
        </w:rPr>
        <w:t>Loi</w:t>
      </w:r>
      <w:r w:rsidRPr="00C91179">
        <w:rPr>
          <w:rFonts w:eastAsia="Arial"/>
          <w:sz w:val="28"/>
          <w:szCs w:val="28"/>
          <w:lang w:bidi="en-CA"/>
        </w:rPr>
        <w:t>)</w:t>
      </w:r>
      <w:r w:rsidR="00570C0C">
        <w:rPr>
          <w:rFonts w:eastAsia="Arial"/>
          <w:sz w:val="28"/>
          <w:szCs w:val="28"/>
          <w:lang w:bidi="en-CA"/>
        </w:rPr>
        <w:t xml:space="preserve"> </w:t>
      </w:r>
      <w:r w:rsidR="00570C0C" w:rsidRPr="00A8438E">
        <w:rPr>
          <w:rFonts w:eastAsia="Arial"/>
          <w:sz w:val="28"/>
          <w:szCs w:val="28"/>
          <w:lang w:bidi="en-CA"/>
        </w:rPr>
        <w:t>fédérale</w:t>
      </w:r>
      <w:r w:rsidRPr="00C91179">
        <w:rPr>
          <w:rFonts w:eastAsia="Arial"/>
          <w:sz w:val="28"/>
          <w:szCs w:val="28"/>
          <w:lang w:bidi="en-CA"/>
        </w:rPr>
        <w:t xml:space="preserve">. </w:t>
      </w:r>
      <w:r w:rsidRPr="00B47C81">
        <w:rPr>
          <w:rFonts w:eastAsia="Arial"/>
          <w:sz w:val="28"/>
          <w:szCs w:val="28"/>
          <w:lang w:bidi="en-CA"/>
        </w:rPr>
        <w:t xml:space="preserve"> </w:t>
      </w:r>
    </w:p>
    <w:p w14:paraId="04B9D54C" w14:textId="35036EF3" w:rsidR="00B47C81" w:rsidRPr="00B47C81" w:rsidRDefault="00B47C81" w:rsidP="00B47C81">
      <w:pPr>
        <w:spacing w:after="240"/>
        <w:rPr>
          <w:rFonts w:eastAsia="Arial"/>
          <w:sz w:val="28"/>
          <w:szCs w:val="28"/>
          <w:lang w:bidi="en-CA"/>
        </w:rPr>
      </w:pPr>
      <w:r w:rsidRPr="00B47C81">
        <w:rPr>
          <w:rFonts w:eastAsia="Arial"/>
          <w:sz w:val="28"/>
          <w:szCs w:val="28"/>
          <w:lang w:bidi="en-CA"/>
        </w:rPr>
        <w:t xml:space="preserve">Cet avis doit être affiché pendant 60 jours ou jusqu'à la date à laquelle les augmentations de rémunération ont été payées en totalité, </w:t>
      </w:r>
      <w:r w:rsidR="00C8658D">
        <w:rPr>
          <w:rFonts w:eastAsia="Arial"/>
          <w:sz w:val="28"/>
          <w:szCs w:val="28"/>
          <w:lang w:bidi="en-CA"/>
        </w:rPr>
        <w:t xml:space="preserve">selon la </w:t>
      </w:r>
      <w:r w:rsidR="000D19DE">
        <w:rPr>
          <w:rFonts w:eastAsia="Arial"/>
          <w:sz w:val="28"/>
          <w:szCs w:val="28"/>
          <w:lang w:bidi="en-CA"/>
        </w:rPr>
        <w:t xml:space="preserve">date la </w:t>
      </w:r>
      <w:r w:rsidR="00C8658D">
        <w:rPr>
          <w:rFonts w:eastAsia="Arial"/>
          <w:sz w:val="28"/>
          <w:szCs w:val="28"/>
          <w:lang w:bidi="en-CA"/>
        </w:rPr>
        <w:t>plus récente</w:t>
      </w:r>
      <w:r w:rsidRPr="00B47C81">
        <w:rPr>
          <w:rFonts w:eastAsia="Arial"/>
          <w:sz w:val="28"/>
          <w:szCs w:val="28"/>
          <w:lang w:bidi="en-CA"/>
        </w:rPr>
        <w:t xml:space="preserve"> [Règlement, art</w:t>
      </w:r>
      <w:r w:rsidR="00C8658D">
        <w:rPr>
          <w:rFonts w:eastAsia="Arial"/>
          <w:sz w:val="28"/>
          <w:szCs w:val="28"/>
          <w:lang w:bidi="en-CA"/>
        </w:rPr>
        <w:t xml:space="preserve">. </w:t>
      </w:r>
      <w:r w:rsidRPr="00B47C81">
        <w:rPr>
          <w:rFonts w:eastAsia="Arial"/>
          <w:sz w:val="28"/>
          <w:szCs w:val="28"/>
          <w:lang w:bidi="en-CA"/>
        </w:rPr>
        <w:t>35].</w:t>
      </w:r>
    </w:p>
    <w:p w14:paraId="5AE59359" w14:textId="02478CFE" w:rsidR="00BD0C5C" w:rsidRPr="006500F2" w:rsidRDefault="00B47C81" w:rsidP="00B47C81">
      <w:pPr>
        <w:spacing w:after="240"/>
        <w:rPr>
          <w:rFonts w:eastAsia="Arial"/>
          <w:sz w:val="28"/>
          <w:szCs w:val="28"/>
          <w:lang w:bidi="en-CA"/>
        </w:rPr>
      </w:pPr>
      <w:r w:rsidRPr="00B47C81">
        <w:rPr>
          <w:rFonts w:eastAsia="Arial"/>
          <w:sz w:val="28"/>
          <w:szCs w:val="28"/>
          <w:lang w:bidi="en-CA"/>
        </w:rPr>
        <w:t xml:space="preserve">Cet avis fait </w:t>
      </w:r>
      <w:proofErr w:type="gramStart"/>
      <w:r w:rsidRPr="00B47C81">
        <w:rPr>
          <w:rFonts w:eastAsia="Arial"/>
          <w:sz w:val="28"/>
          <w:szCs w:val="28"/>
          <w:lang w:bidi="en-CA"/>
        </w:rPr>
        <w:t>suite à un</w:t>
      </w:r>
      <w:proofErr w:type="gramEnd"/>
      <w:r w:rsidRPr="00B47C81">
        <w:rPr>
          <w:rFonts w:eastAsia="Arial"/>
          <w:sz w:val="28"/>
          <w:szCs w:val="28"/>
          <w:lang w:bidi="en-CA"/>
        </w:rPr>
        <w:t xml:space="preserve"> </w:t>
      </w:r>
      <w:r w:rsidR="00C8658D">
        <w:rPr>
          <w:rFonts w:eastAsia="Arial"/>
          <w:sz w:val="28"/>
          <w:szCs w:val="28"/>
          <w:lang w:bidi="en-CA"/>
        </w:rPr>
        <w:t>plan</w:t>
      </w:r>
      <w:r w:rsidRPr="00B47C81">
        <w:rPr>
          <w:rFonts w:eastAsia="Arial"/>
          <w:sz w:val="28"/>
          <w:szCs w:val="28"/>
          <w:lang w:bidi="en-CA"/>
        </w:rPr>
        <w:t xml:space="preserve"> d'équité salariale </w:t>
      </w:r>
      <w:r w:rsidR="00FC2C1A">
        <w:rPr>
          <w:rFonts w:eastAsia="Arial"/>
          <w:sz w:val="28"/>
          <w:szCs w:val="28"/>
          <w:lang w:bidi="en-CA"/>
        </w:rPr>
        <w:t xml:space="preserve">final </w:t>
      </w:r>
      <w:r w:rsidRPr="00B47C81">
        <w:rPr>
          <w:rFonts w:eastAsia="Arial"/>
          <w:sz w:val="28"/>
          <w:szCs w:val="28"/>
          <w:lang w:bidi="en-CA"/>
        </w:rPr>
        <w:t xml:space="preserve">qui a été affiché conformément à l'une </w:t>
      </w:r>
      <w:r w:rsidR="000D19DE">
        <w:rPr>
          <w:rFonts w:eastAsia="Arial"/>
          <w:sz w:val="28"/>
          <w:szCs w:val="28"/>
          <w:lang w:bidi="en-CA"/>
        </w:rPr>
        <w:t>des sections</w:t>
      </w:r>
      <w:r w:rsidR="00E540DF">
        <w:rPr>
          <w:rFonts w:eastAsia="Arial"/>
          <w:sz w:val="28"/>
          <w:szCs w:val="28"/>
          <w:lang w:bidi="en-CA"/>
        </w:rPr>
        <w:t xml:space="preserve"> suivantes</w:t>
      </w:r>
      <w:r w:rsidR="000D19DE">
        <w:rPr>
          <w:rFonts w:eastAsia="Arial"/>
          <w:sz w:val="28"/>
          <w:szCs w:val="28"/>
          <w:lang w:bidi="en-CA"/>
        </w:rPr>
        <w:t xml:space="preserve"> de la </w:t>
      </w:r>
      <w:r w:rsidR="000D19DE" w:rsidRPr="000E3B82">
        <w:rPr>
          <w:rFonts w:eastAsia="Arial"/>
          <w:sz w:val="28"/>
          <w:szCs w:val="28"/>
          <w:lang w:bidi="en-CA"/>
        </w:rPr>
        <w:t>Loi</w:t>
      </w:r>
      <w:r w:rsidRPr="000E3B82">
        <w:rPr>
          <w:rFonts w:eastAsia="Arial"/>
          <w:sz w:val="28"/>
          <w:szCs w:val="28"/>
          <w:lang w:bidi="en-CA"/>
        </w:rPr>
        <w:t xml:space="preserve"> </w:t>
      </w:r>
      <w:r w:rsidRPr="00B47C81">
        <w:rPr>
          <w:rFonts w:eastAsia="Arial"/>
          <w:sz w:val="28"/>
          <w:szCs w:val="28"/>
          <w:lang w:bidi="en-CA"/>
        </w:rPr>
        <w:t>: [sélectionnez une option]</w:t>
      </w:r>
      <w:r w:rsidR="00B24B10" w:rsidRPr="006500F2">
        <w:rPr>
          <w:rFonts w:eastAsia="Arial"/>
          <w:sz w:val="28"/>
          <w:szCs w:val="28"/>
          <w:lang w:bidi="en-CA"/>
        </w:rPr>
        <w:t xml:space="preserve"> </w:t>
      </w:r>
    </w:p>
    <w:p w14:paraId="2E2DB1FF" w14:textId="04261E03" w:rsidR="00B24B10" w:rsidRPr="006500F2" w:rsidRDefault="00685DEE" w:rsidP="006C442A">
      <w:pPr>
        <w:spacing w:after="120"/>
        <w:rPr>
          <w:rFonts w:eastAsia="Arial"/>
          <w:sz w:val="28"/>
          <w:szCs w:val="28"/>
          <w:lang w:bidi="en-CA"/>
        </w:rPr>
      </w:pPr>
      <w:sdt>
        <w:sdtPr>
          <w:id w:val="-127824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877" w:rsidRPr="006500F2">
            <w:rPr>
              <w:rFonts w:ascii="MS Gothic" w:eastAsia="MS Gothic" w:hAnsi="MS Gothic" w:hint="eastAsia"/>
            </w:rPr>
            <w:t>☐</w:t>
          </w:r>
        </w:sdtContent>
      </w:sdt>
      <w:r w:rsidR="008C3877" w:rsidRPr="006500F2">
        <w:rPr>
          <w:rFonts w:eastAsia="Arial"/>
          <w:sz w:val="28"/>
          <w:szCs w:val="28"/>
          <w:lang w:bidi="en-CA"/>
        </w:rPr>
        <w:t xml:space="preserve"> </w:t>
      </w:r>
      <w:r w:rsidR="00040FC9" w:rsidRPr="006500F2">
        <w:rPr>
          <w:rFonts w:eastAsia="Arial"/>
          <w:sz w:val="28"/>
          <w:szCs w:val="28"/>
          <w:lang w:bidi="en-CA"/>
        </w:rPr>
        <w:t xml:space="preserve">Section 55 </w:t>
      </w:r>
      <w:r w:rsidR="00B47C81">
        <w:rPr>
          <w:rFonts w:eastAsia="Arial"/>
          <w:sz w:val="28"/>
          <w:szCs w:val="28"/>
          <w:lang w:bidi="en-CA"/>
        </w:rPr>
        <w:t xml:space="preserve">de la </w:t>
      </w:r>
      <w:r w:rsidR="00B47C81" w:rsidRPr="000E3B82">
        <w:rPr>
          <w:rFonts w:eastAsia="Arial"/>
          <w:sz w:val="28"/>
          <w:szCs w:val="28"/>
          <w:lang w:bidi="en-CA"/>
        </w:rPr>
        <w:t>Loi</w:t>
      </w:r>
    </w:p>
    <w:p w14:paraId="47860C2F" w14:textId="77777777" w:rsidR="00B47C81" w:rsidRDefault="00685DEE" w:rsidP="00B47C81">
      <w:pPr>
        <w:spacing w:after="120"/>
        <w:rPr>
          <w:rFonts w:eastAsia="Arial"/>
          <w:i/>
          <w:iCs/>
          <w:sz w:val="28"/>
          <w:szCs w:val="28"/>
          <w:lang w:bidi="en-CA"/>
        </w:rPr>
      </w:pPr>
      <w:sdt>
        <w:sdtPr>
          <w:id w:val="-168181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877" w:rsidRPr="006500F2">
            <w:rPr>
              <w:rFonts w:ascii="MS Gothic" w:eastAsia="MS Gothic" w:hAnsi="MS Gothic" w:hint="eastAsia"/>
            </w:rPr>
            <w:t>☐</w:t>
          </w:r>
        </w:sdtContent>
      </w:sdt>
      <w:r w:rsidR="008C3877" w:rsidRPr="006500F2">
        <w:rPr>
          <w:rFonts w:eastAsia="Arial"/>
          <w:sz w:val="28"/>
          <w:szCs w:val="28"/>
          <w:lang w:bidi="en-CA"/>
        </w:rPr>
        <w:t xml:space="preserve"> </w:t>
      </w:r>
      <w:r w:rsidR="00040FC9" w:rsidRPr="006500F2">
        <w:rPr>
          <w:rFonts w:eastAsia="Arial"/>
          <w:sz w:val="28"/>
          <w:szCs w:val="28"/>
          <w:lang w:bidi="en-CA"/>
        </w:rPr>
        <w:t xml:space="preserve">Section 94(1)(b) </w:t>
      </w:r>
      <w:r w:rsidR="00B47C81">
        <w:rPr>
          <w:rFonts w:eastAsia="Arial"/>
          <w:sz w:val="28"/>
          <w:szCs w:val="28"/>
          <w:lang w:bidi="en-CA"/>
        </w:rPr>
        <w:t xml:space="preserve">de la </w:t>
      </w:r>
      <w:r w:rsidR="00B47C81" w:rsidRPr="000E3B82">
        <w:rPr>
          <w:rFonts w:eastAsia="Arial"/>
          <w:sz w:val="28"/>
          <w:szCs w:val="28"/>
          <w:lang w:bidi="en-CA"/>
        </w:rPr>
        <w:t>Loi</w:t>
      </w:r>
    </w:p>
    <w:p w14:paraId="72F3D6CD" w14:textId="737AAC59" w:rsidR="009D2266" w:rsidRPr="006500F2" w:rsidRDefault="00685DEE" w:rsidP="00B47C81">
      <w:pPr>
        <w:spacing w:after="120"/>
        <w:rPr>
          <w:b/>
          <w:sz w:val="32"/>
        </w:rPr>
      </w:pPr>
      <w:sdt>
        <w:sdtPr>
          <w:id w:val="73343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877" w:rsidRPr="006500F2">
            <w:rPr>
              <w:rFonts w:ascii="MS Gothic" w:eastAsia="MS Gothic" w:hAnsi="MS Gothic" w:hint="eastAsia"/>
            </w:rPr>
            <w:t>☐</w:t>
          </w:r>
        </w:sdtContent>
      </w:sdt>
      <w:r w:rsidR="008C3877" w:rsidRPr="006500F2">
        <w:rPr>
          <w:lang w:eastAsia="en-CA"/>
        </w:rPr>
        <w:t xml:space="preserve"> </w:t>
      </w:r>
      <w:r w:rsidR="00040FC9" w:rsidRPr="006500F2">
        <w:rPr>
          <w:rFonts w:eastAsia="Arial"/>
          <w:sz w:val="28"/>
          <w:szCs w:val="28"/>
          <w:lang w:bidi="en-CA"/>
        </w:rPr>
        <w:t xml:space="preserve">Section 57(2) </w:t>
      </w:r>
      <w:r w:rsidR="00C8658D">
        <w:rPr>
          <w:rFonts w:eastAsia="Arial"/>
          <w:sz w:val="28"/>
          <w:szCs w:val="28"/>
          <w:lang w:bidi="en-CA"/>
        </w:rPr>
        <w:t xml:space="preserve">de la </w:t>
      </w:r>
      <w:r w:rsidR="00C8658D" w:rsidRPr="000E3B82">
        <w:rPr>
          <w:rFonts w:eastAsia="Arial"/>
          <w:sz w:val="28"/>
          <w:szCs w:val="28"/>
          <w:lang w:bidi="en-CA"/>
        </w:rPr>
        <w:t>Loi</w:t>
      </w:r>
    </w:p>
    <w:p w14:paraId="75663FC7" w14:textId="64F33952" w:rsidR="004E6CD2" w:rsidRPr="000E3B82" w:rsidRDefault="004E6CD2" w:rsidP="003B0197">
      <w:pPr>
        <w:pStyle w:val="Heading2"/>
        <w:rPr>
          <w:lang w:val="fr-CA"/>
        </w:rPr>
      </w:pPr>
      <w:r>
        <w:rPr>
          <w:lang w:val="fr-CA"/>
        </w:rPr>
        <w:lastRenderedPageBreak/>
        <w:br/>
      </w:r>
      <w:r w:rsidR="001D474B" w:rsidRPr="000E3B82">
        <w:rPr>
          <w:lang w:val="fr-CA"/>
        </w:rPr>
        <w:t>Pa</w:t>
      </w:r>
      <w:r w:rsidR="00661279" w:rsidRPr="000E3B82">
        <w:rPr>
          <w:lang w:val="fr-CA"/>
        </w:rPr>
        <w:t>iement des augmentations de rémunération</w:t>
      </w:r>
    </w:p>
    <w:p w14:paraId="14105D08" w14:textId="77777777" w:rsidR="004E6CD2" w:rsidRPr="004E6CD2" w:rsidRDefault="004E6CD2" w:rsidP="004E6CD2">
      <w:pPr>
        <w:rPr>
          <w:lang w:bidi="en-CA"/>
        </w:rPr>
      </w:pPr>
    </w:p>
    <w:p w14:paraId="4A988345" w14:textId="424F3395" w:rsidR="004E6CD2" w:rsidRPr="00A8438E" w:rsidRDefault="004E6CD2" w:rsidP="004E6CD2">
      <w:pPr>
        <w:rPr>
          <w:b/>
          <w:sz w:val="28"/>
          <w:szCs w:val="28"/>
        </w:rPr>
      </w:pPr>
      <w:r w:rsidRPr="00A8438E">
        <w:rPr>
          <w:b/>
          <w:sz w:val="28"/>
          <w:szCs w:val="28"/>
        </w:rPr>
        <w:t xml:space="preserve">Date à laquelle le plan d’équité salariale </w:t>
      </w:r>
      <w:r>
        <w:rPr>
          <w:b/>
          <w:sz w:val="28"/>
          <w:szCs w:val="28"/>
        </w:rPr>
        <w:t xml:space="preserve">final </w:t>
      </w:r>
      <w:r w:rsidRPr="00A8438E">
        <w:rPr>
          <w:b/>
          <w:sz w:val="28"/>
          <w:szCs w:val="28"/>
        </w:rPr>
        <w:t>a été publié:</w:t>
      </w:r>
      <w:r>
        <w:rPr>
          <w:b/>
          <w:sz w:val="28"/>
          <w:szCs w:val="28"/>
        </w:rPr>
        <w:t xml:space="preserve"> [Insérez la date ici]</w:t>
      </w:r>
      <w:r w:rsidRPr="00A8438E">
        <w:rPr>
          <w:b/>
          <w:sz w:val="28"/>
          <w:szCs w:val="28"/>
        </w:rPr>
        <w:t xml:space="preserve"> </w:t>
      </w:r>
    </w:p>
    <w:p w14:paraId="57F0D73A" w14:textId="77777777" w:rsidR="004E6CD2" w:rsidRPr="00A8438E" w:rsidRDefault="004E6CD2" w:rsidP="004E6CD2">
      <w:pPr>
        <w:rPr>
          <w:b/>
          <w:sz w:val="28"/>
          <w:szCs w:val="28"/>
        </w:rPr>
      </w:pPr>
    </w:p>
    <w:p w14:paraId="4D7DB678" w14:textId="101F2C80" w:rsidR="004E6CD2" w:rsidRPr="00A8438E" w:rsidRDefault="004E6CD2" w:rsidP="004E6CD2">
      <w:pPr>
        <w:rPr>
          <w:b/>
          <w:sz w:val="28"/>
          <w:szCs w:val="28"/>
        </w:rPr>
      </w:pPr>
      <w:r w:rsidRPr="00A8438E">
        <w:rPr>
          <w:b/>
          <w:sz w:val="28"/>
          <w:szCs w:val="28"/>
        </w:rPr>
        <w:t>Les augmentations de rémunération sont payables à partir du:</w:t>
      </w:r>
      <w:r>
        <w:rPr>
          <w:b/>
          <w:sz w:val="28"/>
          <w:szCs w:val="28"/>
        </w:rPr>
        <w:t xml:space="preserve"> [Insérez la date ici]</w:t>
      </w:r>
    </w:p>
    <w:p w14:paraId="6ACDF0BC" w14:textId="77777777" w:rsidR="004E6CD2" w:rsidRPr="00A8438E" w:rsidRDefault="004E6CD2" w:rsidP="004E6CD2">
      <w:pPr>
        <w:rPr>
          <w:b/>
          <w:sz w:val="28"/>
          <w:szCs w:val="28"/>
        </w:rPr>
      </w:pPr>
    </w:p>
    <w:p w14:paraId="79993FA6" w14:textId="379A2060" w:rsidR="004E6CD2" w:rsidRPr="00A8438E" w:rsidRDefault="004E6CD2" w:rsidP="004E6CD2">
      <w:pPr>
        <w:rPr>
          <w:b/>
          <w:sz w:val="28"/>
          <w:szCs w:val="28"/>
        </w:rPr>
      </w:pPr>
      <w:r w:rsidRPr="00A8438E">
        <w:rPr>
          <w:b/>
          <w:sz w:val="28"/>
          <w:szCs w:val="28"/>
        </w:rPr>
        <w:t>Les sommes forfaitaires et les intérêts (le cas éch</w:t>
      </w:r>
      <w:r>
        <w:rPr>
          <w:b/>
          <w:sz w:val="28"/>
          <w:szCs w:val="28"/>
        </w:rPr>
        <w:t>é</w:t>
      </w:r>
      <w:r w:rsidRPr="00A8438E">
        <w:rPr>
          <w:b/>
          <w:sz w:val="28"/>
          <w:szCs w:val="28"/>
        </w:rPr>
        <w:t>ant) sont payables à partir du:</w:t>
      </w:r>
      <w:r>
        <w:rPr>
          <w:b/>
          <w:sz w:val="28"/>
          <w:szCs w:val="28"/>
        </w:rPr>
        <w:t xml:space="preserve"> [Insérez la date ici]</w:t>
      </w:r>
    </w:p>
    <w:p w14:paraId="3A602BF5" w14:textId="6EA9AC5A" w:rsidR="00661279" w:rsidRPr="00661279" w:rsidRDefault="000200B0" w:rsidP="004E6CD2">
      <w:r w:rsidRPr="006500F2">
        <w:t xml:space="preserve"> </w:t>
      </w:r>
    </w:p>
    <w:p w14:paraId="16832B33" w14:textId="77777777" w:rsidR="00661279" w:rsidRPr="00661279" w:rsidRDefault="00661279" w:rsidP="00661279">
      <w:pPr>
        <w:rPr>
          <w:sz w:val="28"/>
          <w:szCs w:val="28"/>
        </w:rPr>
      </w:pPr>
    </w:p>
    <w:p w14:paraId="411D0B29" w14:textId="67034B3E" w:rsidR="00661279" w:rsidRPr="00661279" w:rsidRDefault="00661279" w:rsidP="00661279">
      <w:pPr>
        <w:rPr>
          <w:sz w:val="28"/>
          <w:szCs w:val="28"/>
        </w:rPr>
      </w:pPr>
      <w:r w:rsidRPr="00661279">
        <w:rPr>
          <w:sz w:val="28"/>
          <w:szCs w:val="28"/>
        </w:rPr>
        <w:t>Les augmentations de rémunération sont payables le jour suivant l'affichage du plan d'équité salariale</w:t>
      </w:r>
      <w:r w:rsidR="00FC2C1A">
        <w:rPr>
          <w:sz w:val="28"/>
          <w:szCs w:val="28"/>
        </w:rPr>
        <w:t xml:space="preserve"> final</w:t>
      </w:r>
      <w:r w:rsidRPr="00661279">
        <w:rPr>
          <w:sz w:val="28"/>
          <w:szCs w:val="28"/>
        </w:rPr>
        <w:t xml:space="preserve"> [</w:t>
      </w:r>
      <w:r w:rsidRPr="00A8438E">
        <w:rPr>
          <w:sz w:val="28"/>
          <w:szCs w:val="28"/>
        </w:rPr>
        <w:t>Loi</w:t>
      </w:r>
      <w:r w:rsidRPr="00661279">
        <w:rPr>
          <w:sz w:val="28"/>
          <w:szCs w:val="28"/>
        </w:rPr>
        <w:t>, art</w:t>
      </w:r>
      <w:r>
        <w:rPr>
          <w:sz w:val="28"/>
          <w:szCs w:val="28"/>
        </w:rPr>
        <w:t>.</w:t>
      </w:r>
      <w:r w:rsidRPr="00661279">
        <w:rPr>
          <w:sz w:val="28"/>
          <w:szCs w:val="28"/>
        </w:rPr>
        <w:t xml:space="preserve"> 61(1) et 62(1)]. </w:t>
      </w:r>
    </w:p>
    <w:p w14:paraId="1241F040" w14:textId="77777777" w:rsidR="00661279" w:rsidRPr="00661279" w:rsidRDefault="00661279" w:rsidP="00661279">
      <w:pPr>
        <w:rPr>
          <w:sz w:val="28"/>
          <w:szCs w:val="28"/>
        </w:rPr>
      </w:pPr>
    </w:p>
    <w:p w14:paraId="06AA7E40" w14:textId="4F3BFFCA" w:rsidR="00661279" w:rsidRPr="00661279" w:rsidRDefault="00661279" w:rsidP="00661279">
      <w:pPr>
        <w:rPr>
          <w:sz w:val="28"/>
          <w:szCs w:val="28"/>
        </w:rPr>
      </w:pPr>
      <w:r w:rsidRPr="00661279">
        <w:rPr>
          <w:sz w:val="28"/>
          <w:szCs w:val="28"/>
        </w:rPr>
        <w:t xml:space="preserve">Le non-paiement </w:t>
      </w:r>
      <w:r w:rsidR="00C40614">
        <w:rPr>
          <w:sz w:val="28"/>
          <w:szCs w:val="28"/>
        </w:rPr>
        <w:t xml:space="preserve">à temps </w:t>
      </w:r>
      <w:r w:rsidRPr="00661279">
        <w:rPr>
          <w:sz w:val="28"/>
          <w:szCs w:val="28"/>
        </w:rPr>
        <w:t>de</w:t>
      </w:r>
      <w:r w:rsidR="00C40614">
        <w:rPr>
          <w:sz w:val="28"/>
          <w:szCs w:val="28"/>
        </w:rPr>
        <w:t xml:space="preserve"> toute</w:t>
      </w:r>
      <w:r w:rsidRPr="00661279">
        <w:rPr>
          <w:sz w:val="28"/>
          <w:szCs w:val="28"/>
        </w:rPr>
        <w:t xml:space="preserve"> augmentation de rémunération </w:t>
      </w:r>
      <w:r w:rsidRPr="00C40614">
        <w:rPr>
          <w:b/>
          <w:bCs/>
          <w:sz w:val="28"/>
          <w:szCs w:val="28"/>
        </w:rPr>
        <w:t xml:space="preserve">entraînera </w:t>
      </w:r>
      <w:r w:rsidRPr="00661279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es </w:t>
      </w:r>
      <w:r w:rsidRPr="00661279">
        <w:rPr>
          <w:b/>
          <w:bCs/>
          <w:sz w:val="28"/>
          <w:szCs w:val="28"/>
        </w:rPr>
        <w:t>intérêts</w:t>
      </w:r>
      <w:r>
        <w:rPr>
          <w:b/>
          <w:bCs/>
          <w:sz w:val="28"/>
          <w:szCs w:val="28"/>
        </w:rPr>
        <w:t xml:space="preserve"> cumulés</w:t>
      </w:r>
      <w:r w:rsidRPr="00661279">
        <w:rPr>
          <w:sz w:val="28"/>
          <w:szCs w:val="28"/>
        </w:rPr>
        <w:t xml:space="preserve">. Les intérêts </w:t>
      </w:r>
      <w:r w:rsidR="00C40614">
        <w:rPr>
          <w:sz w:val="28"/>
          <w:szCs w:val="28"/>
        </w:rPr>
        <w:t>doivent être c</w:t>
      </w:r>
      <w:r w:rsidRPr="00661279">
        <w:rPr>
          <w:sz w:val="28"/>
          <w:szCs w:val="28"/>
        </w:rPr>
        <w:t xml:space="preserve">alculés et composés quotidiennement au taux annuel de 2% </w:t>
      </w:r>
      <w:r w:rsidRPr="00661279">
        <w:rPr>
          <w:b/>
          <w:bCs/>
          <w:sz w:val="28"/>
          <w:szCs w:val="28"/>
        </w:rPr>
        <w:t>et</w:t>
      </w:r>
      <w:r w:rsidRPr="00661279">
        <w:rPr>
          <w:sz w:val="28"/>
          <w:szCs w:val="28"/>
        </w:rPr>
        <w:t xml:space="preserve"> au taux bancaire en vigueur le jour </w:t>
      </w:r>
      <w:r w:rsidR="00C40614">
        <w:rPr>
          <w:sz w:val="28"/>
          <w:szCs w:val="28"/>
        </w:rPr>
        <w:t>où</w:t>
      </w:r>
      <w:r w:rsidRPr="00661279">
        <w:rPr>
          <w:sz w:val="28"/>
          <w:szCs w:val="28"/>
        </w:rPr>
        <w:t xml:space="preserve"> les intérêts sont calculés, pour la période commençant le premier jour </w:t>
      </w:r>
      <w:r w:rsidR="00C40614">
        <w:rPr>
          <w:sz w:val="28"/>
          <w:szCs w:val="28"/>
        </w:rPr>
        <w:t>suivant</w:t>
      </w:r>
      <w:r w:rsidRPr="00661279">
        <w:rPr>
          <w:sz w:val="28"/>
          <w:szCs w:val="28"/>
        </w:rPr>
        <w:t xml:space="preserve"> le jour où le montant devait être payé et se terminant le jour où le montant est payé [</w:t>
      </w:r>
      <w:r w:rsidRPr="00A8438E">
        <w:rPr>
          <w:sz w:val="28"/>
          <w:szCs w:val="28"/>
        </w:rPr>
        <w:t>Loi</w:t>
      </w:r>
      <w:r w:rsidRPr="00661279">
        <w:rPr>
          <w:sz w:val="28"/>
          <w:szCs w:val="28"/>
        </w:rPr>
        <w:t xml:space="preserve">, art. 97(1) et 97(2)]. </w:t>
      </w:r>
    </w:p>
    <w:p w14:paraId="55BA1D2A" w14:textId="77777777" w:rsidR="00661279" w:rsidRPr="00661279" w:rsidRDefault="00661279" w:rsidP="00661279">
      <w:pPr>
        <w:rPr>
          <w:sz w:val="28"/>
          <w:szCs w:val="28"/>
        </w:rPr>
      </w:pPr>
    </w:p>
    <w:p w14:paraId="49BCC7FF" w14:textId="4BA8C944" w:rsidR="007B514B" w:rsidRDefault="007B514B" w:rsidP="00661279">
      <w:pPr>
        <w:rPr>
          <w:sz w:val="28"/>
          <w:szCs w:val="28"/>
        </w:rPr>
      </w:pPr>
      <w:r w:rsidRPr="007B514B">
        <w:rPr>
          <w:sz w:val="28"/>
          <w:szCs w:val="28"/>
        </w:rPr>
        <w:t xml:space="preserve">La Loi </w:t>
      </w:r>
      <w:r w:rsidRPr="007B514B">
        <w:rPr>
          <w:b/>
          <w:bCs/>
          <w:sz w:val="28"/>
          <w:szCs w:val="28"/>
        </w:rPr>
        <w:t>ne confère pas</w:t>
      </w:r>
      <w:r w:rsidRPr="007B514B">
        <w:rPr>
          <w:sz w:val="28"/>
          <w:szCs w:val="28"/>
        </w:rPr>
        <w:t xml:space="preserve"> à la commissaire à l'équité salariale le pouvoir de </w:t>
      </w:r>
      <w:r w:rsidRPr="007B514B">
        <w:rPr>
          <w:b/>
          <w:bCs/>
          <w:sz w:val="28"/>
          <w:szCs w:val="28"/>
        </w:rPr>
        <w:t>renoncer aux intérêts</w:t>
      </w:r>
      <w:r w:rsidRPr="007B514B">
        <w:rPr>
          <w:sz w:val="28"/>
          <w:szCs w:val="28"/>
        </w:rPr>
        <w:t xml:space="preserve"> ou de </w:t>
      </w:r>
      <w:r w:rsidRPr="007B514B">
        <w:rPr>
          <w:b/>
          <w:bCs/>
          <w:sz w:val="28"/>
          <w:szCs w:val="28"/>
        </w:rPr>
        <w:t>prolonger les délais</w:t>
      </w:r>
      <w:r w:rsidRPr="007B514B">
        <w:rPr>
          <w:sz w:val="28"/>
          <w:szCs w:val="28"/>
        </w:rPr>
        <w:t xml:space="preserve"> dans lesquels ils doivent être versés.</w:t>
      </w:r>
    </w:p>
    <w:p w14:paraId="4ED5E17E" w14:textId="77777777" w:rsidR="007B514B" w:rsidRDefault="007B514B" w:rsidP="00661279">
      <w:pPr>
        <w:rPr>
          <w:sz w:val="28"/>
          <w:szCs w:val="28"/>
        </w:rPr>
      </w:pPr>
    </w:p>
    <w:p w14:paraId="52346648" w14:textId="17A943A1" w:rsidR="00D628DC" w:rsidRPr="006500F2" w:rsidRDefault="00D628DC" w:rsidP="00D628DC">
      <w:pPr>
        <w:rPr>
          <w:rFonts w:eastAsia="Arial"/>
          <w:bCs/>
          <w:sz w:val="28"/>
          <w:szCs w:val="28"/>
          <w:lang w:bidi="en-CA"/>
        </w:rPr>
      </w:pPr>
      <w:bookmarkStart w:id="0" w:name="_Hlk152067417"/>
    </w:p>
    <w:p w14:paraId="69A16BAB" w14:textId="77777777" w:rsidR="00661279" w:rsidRDefault="00661279" w:rsidP="000F4D44">
      <w:pPr>
        <w:tabs>
          <w:tab w:val="left" w:pos="7632"/>
        </w:tabs>
        <w:rPr>
          <w:rFonts w:eastAsia="Arial"/>
          <w:b/>
          <w:sz w:val="28"/>
          <w:szCs w:val="28"/>
          <w:lang w:bidi="en-CA"/>
        </w:rPr>
      </w:pPr>
    </w:p>
    <w:p w14:paraId="584074D7" w14:textId="2A8273CE" w:rsidR="00A92D60" w:rsidRPr="006500F2" w:rsidRDefault="000F4D44" w:rsidP="000F4D44">
      <w:pPr>
        <w:tabs>
          <w:tab w:val="left" w:pos="7632"/>
        </w:tabs>
        <w:rPr>
          <w:rFonts w:eastAsia="Arial"/>
          <w:b/>
          <w:sz w:val="28"/>
          <w:szCs w:val="28"/>
          <w:lang w:bidi="en-CA"/>
        </w:rPr>
      </w:pPr>
      <w:r w:rsidRPr="006500F2">
        <w:rPr>
          <w:rFonts w:eastAsia="Arial"/>
          <w:b/>
          <w:sz w:val="28"/>
          <w:szCs w:val="28"/>
          <w:lang w:bidi="en-CA"/>
        </w:rPr>
        <w:tab/>
      </w:r>
    </w:p>
    <w:bookmarkEnd w:id="0"/>
    <w:p w14:paraId="7826F6FB" w14:textId="5BF6846F" w:rsidR="00662520" w:rsidRPr="006500F2" w:rsidRDefault="009D3E1A" w:rsidP="00DB7B03">
      <w:pPr>
        <w:pStyle w:val="Heading2"/>
        <w:rPr>
          <w:noProof w:val="0"/>
          <w:lang w:val="fr-CA"/>
        </w:rPr>
      </w:pPr>
      <w:r>
        <w:rPr>
          <w:noProof w:val="0"/>
          <w:lang w:val="fr-CA"/>
        </w:rPr>
        <w:lastRenderedPageBreak/>
        <w:t>Catégories d’emploi à prédominance féminine ayant droit à des augmentations de rémunération</w:t>
      </w:r>
    </w:p>
    <w:p w14:paraId="5EFD8FAB" w14:textId="77777777" w:rsidR="000A738D" w:rsidRPr="006500F2" w:rsidRDefault="000A738D" w:rsidP="000A738D"/>
    <w:p w14:paraId="25B7010E" w14:textId="466350D0" w:rsidR="00A92D60" w:rsidRPr="006500F2" w:rsidRDefault="00A92D60" w:rsidP="000A738D">
      <w:pPr>
        <w:rPr>
          <w:sz w:val="28"/>
          <w:szCs w:val="28"/>
        </w:rPr>
      </w:pPr>
      <w:bookmarkStart w:id="1" w:name="_Hlk152073376"/>
      <w:r w:rsidRPr="006500F2">
        <w:rPr>
          <w:sz w:val="28"/>
          <w:szCs w:val="28"/>
        </w:rPr>
        <w:t>[</w:t>
      </w:r>
      <w:r w:rsidR="00D773E6">
        <w:rPr>
          <w:sz w:val="28"/>
          <w:szCs w:val="28"/>
        </w:rPr>
        <w:t>Instruc</w:t>
      </w:r>
      <w:r w:rsidRPr="006500F2">
        <w:rPr>
          <w:sz w:val="28"/>
          <w:szCs w:val="28"/>
        </w:rPr>
        <w:t xml:space="preserve">tions: </w:t>
      </w:r>
      <w:r w:rsidR="009D3E1A">
        <w:rPr>
          <w:sz w:val="28"/>
          <w:szCs w:val="28"/>
        </w:rPr>
        <w:t>Modifiez le tableau ci-dessous en fonction de votre milieu de travail.</w:t>
      </w:r>
      <w:r w:rsidRPr="006500F2">
        <w:rPr>
          <w:sz w:val="28"/>
          <w:szCs w:val="28"/>
        </w:rPr>
        <w:t xml:space="preserve"> </w:t>
      </w:r>
      <w:r w:rsidR="009D3E1A">
        <w:rPr>
          <w:sz w:val="28"/>
          <w:szCs w:val="28"/>
        </w:rPr>
        <w:t>Des lignes peuvent être ajoutées.</w:t>
      </w:r>
      <w:r w:rsidRPr="006500F2">
        <w:rPr>
          <w:sz w:val="28"/>
          <w:szCs w:val="28"/>
        </w:rPr>
        <w:t>]</w:t>
      </w:r>
    </w:p>
    <w:bookmarkEnd w:id="1"/>
    <w:p w14:paraId="4211BB96" w14:textId="77777777" w:rsidR="00A92D60" w:rsidRPr="006500F2" w:rsidRDefault="00A92D60" w:rsidP="000A738D">
      <w:pPr>
        <w:rPr>
          <w:sz w:val="28"/>
          <w:szCs w:val="28"/>
        </w:rPr>
      </w:pPr>
    </w:p>
    <w:p w14:paraId="7EA9DEFD" w14:textId="046A6EC1" w:rsidR="00EC0443" w:rsidRPr="006500F2" w:rsidRDefault="009D3E1A" w:rsidP="00662520">
      <w:pPr>
        <w:rPr>
          <w:sz w:val="28"/>
          <w:szCs w:val="28"/>
        </w:rPr>
      </w:pPr>
      <w:r>
        <w:rPr>
          <w:sz w:val="28"/>
          <w:szCs w:val="28"/>
        </w:rPr>
        <w:t>Le tableau suivant présente les catégories d’emploi à prédominance fémini</w:t>
      </w:r>
      <w:r w:rsidR="00E43A86">
        <w:rPr>
          <w:sz w:val="28"/>
          <w:szCs w:val="28"/>
        </w:rPr>
        <w:t>n</w:t>
      </w:r>
      <w:r>
        <w:rPr>
          <w:sz w:val="28"/>
          <w:szCs w:val="28"/>
        </w:rPr>
        <w:t>e qui ont droit à une augmentation de rémunération sur la base de l’analyse de l’équité salariale dans le plan d’équité salariale</w:t>
      </w:r>
      <w:r w:rsidR="00FC2C1A">
        <w:rPr>
          <w:sz w:val="28"/>
          <w:szCs w:val="28"/>
        </w:rPr>
        <w:t xml:space="preserve"> final</w:t>
      </w:r>
      <w:r>
        <w:rPr>
          <w:sz w:val="28"/>
          <w:szCs w:val="28"/>
        </w:rPr>
        <w:t>.</w:t>
      </w:r>
    </w:p>
    <w:p w14:paraId="4B6C9EEE" w14:textId="12F93D1B" w:rsidR="00662520" w:rsidRPr="006500F2" w:rsidRDefault="000A738D" w:rsidP="00662520">
      <w:r w:rsidRPr="006500F2">
        <w:rPr>
          <w:sz w:val="28"/>
          <w:szCs w:val="28"/>
        </w:rPr>
        <w:t xml:space="preserve"> </w:t>
      </w:r>
    </w:p>
    <w:p w14:paraId="403D54C7" w14:textId="36EB0A86" w:rsidR="00E215A9" w:rsidRPr="006500F2" w:rsidRDefault="00E215A9" w:rsidP="00662520">
      <w:pPr>
        <w:jc w:val="center"/>
        <w:rPr>
          <w:b/>
          <w:sz w:val="28"/>
        </w:rPr>
        <w:sectPr w:rsidR="00E215A9" w:rsidRPr="006500F2" w:rsidSect="00E215A9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5840" w:h="12240" w:orient="landscape" w:code="1"/>
          <w:pgMar w:top="1588" w:right="1701" w:bottom="1588" w:left="1440" w:header="284" w:footer="96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4"/>
        <w:gridCol w:w="2978"/>
        <w:gridCol w:w="2902"/>
        <w:gridCol w:w="2625"/>
      </w:tblGrid>
      <w:tr w:rsidR="00080A88" w:rsidRPr="006500F2" w14:paraId="5249783E" w14:textId="074BB2B6" w:rsidTr="00EC0443">
        <w:trPr>
          <w:trHeight w:val="553"/>
        </w:trPr>
        <w:tc>
          <w:tcPr>
            <w:tcW w:w="4184" w:type="dxa"/>
            <w:shd w:val="clear" w:color="auto" w:fill="DEEAF6" w:themeFill="accent1" w:themeFillTint="33"/>
            <w:vAlign w:val="center"/>
          </w:tcPr>
          <w:p w14:paraId="161F1CD4" w14:textId="760FB8E8" w:rsidR="00080A88" w:rsidRPr="006500F2" w:rsidRDefault="009D3E1A" w:rsidP="003666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Catégorie d’emploi</w:t>
            </w:r>
          </w:p>
        </w:tc>
        <w:tc>
          <w:tcPr>
            <w:tcW w:w="2978" w:type="dxa"/>
            <w:shd w:val="clear" w:color="auto" w:fill="DEEAF6" w:themeFill="accent1" w:themeFillTint="33"/>
            <w:vAlign w:val="center"/>
          </w:tcPr>
          <w:p w14:paraId="5B2CB19F" w14:textId="543591C5" w:rsidR="00080A88" w:rsidRPr="006500F2" w:rsidRDefault="00080A88" w:rsidP="003666EC">
            <w:pPr>
              <w:jc w:val="center"/>
              <w:rPr>
                <w:b/>
                <w:sz w:val="28"/>
              </w:rPr>
            </w:pPr>
            <w:r w:rsidRPr="006500F2">
              <w:rPr>
                <w:b/>
                <w:sz w:val="28"/>
              </w:rPr>
              <w:t>N</w:t>
            </w:r>
            <w:r w:rsidR="009D3E1A">
              <w:rPr>
                <w:b/>
                <w:sz w:val="28"/>
              </w:rPr>
              <w:t>ombre d’employés dans la catégorie d’emploi</w:t>
            </w:r>
          </w:p>
        </w:tc>
        <w:tc>
          <w:tcPr>
            <w:tcW w:w="2902" w:type="dxa"/>
            <w:shd w:val="clear" w:color="auto" w:fill="DEEAF6" w:themeFill="accent1" w:themeFillTint="33"/>
            <w:vAlign w:val="center"/>
          </w:tcPr>
          <w:p w14:paraId="7C449DB1" w14:textId="6C7A97CF" w:rsidR="00080A88" w:rsidRPr="006500F2" w:rsidRDefault="009D3E1A" w:rsidP="003666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Augmentation horaire due</w:t>
            </w:r>
            <w:r w:rsidR="00080A88" w:rsidRPr="006500F2">
              <w:rPr>
                <w:b/>
                <w:sz w:val="28"/>
              </w:rPr>
              <w:t xml:space="preserve"> ($)</w:t>
            </w:r>
          </w:p>
        </w:tc>
        <w:tc>
          <w:tcPr>
            <w:tcW w:w="2625" w:type="dxa"/>
            <w:shd w:val="clear" w:color="auto" w:fill="DEEAF6" w:themeFill="accent1" w:themeFillTint="33"/>
            <w:vAlign w:val="center"/>
          </w:tcPr>
          <w:p w14:paraId="7E13B5F2" w14:textId="5008BA44" w:rsidR="00080A88" w:rsidRPr="006500F2" w:rsidRDefault="003666EC" w:rsidP="003666EC">
            <w:pPr>
              <w:jc w:val="center"/>
              <w:rPr>
                <w:b/>
                <w:sz w:val="28"/>
              </w:rPr>
            </w:pPr>
            <w:r w:rsidRPr="006500F2">
              <w:rPr>
                <w:b/>
                <w:sz w:val="28"/>
              </w:rPr>
              <w:t xml:space="preserve">Total </w:t>
            </w:r>
            <w:r w:rsidR="009D3E1A">
              <w:rPr>
                <w:b/>
                <w:sz w:val="28"/>
              </w:rPr>
              <w:t>dû</w:t>
            </w:r>
            <w:r w:rsidR="00080A88" w:rsidRPr="006500F2">
              <w:rPr>
                <w:b/>
                <w:sz w:val="28"/>
              </w:rPr>
              <w:t xml:space="preserve"> ($)</w:t>
            </w:r>
          </w:p>
        </w:tc>
      </w:tr>
      <w:tr w:rsidR="00080A88" w:rsidRPr="006500F2" w14:paraId="218D5D40" w14:textId="55381034" w:rsidTr="00EC0443">
        <w:trPr>
          <w:trHeight w:val="529"/>
        </w:trPr>
        <w:tc>
          <w:tcPr>
            <w:tcW w:w="4184" w:type="dxa"/>
          </w:tcPr>
          <w:p w14:paraId="6796B3E5" w14:textId="19DE2A30" w:rsidR="00080A88" w:rsidRPr="006500F2" w:rsidRDefault="00080A88" w:rsidP="002645CE">
            <w:r w:rsidRPr="006500F2">
              <w:t xml:space="preserve"> </w:t>
            </w:r>
          </w:p>
        </w:tc>
        <w:tc>
          <w:tcPr>
            <w:tcW w:w="2978" w:type="dxa"/>
            <w:vAlign w:val="center"/>
          </w:tcPr>
          <w:p w14:paraId="0FD6F5DE" w14:textId="24F76506" w:rsidR="00080A88" w:rsidRPr="006500F2" w:rsidRDefault="00080A88" w:rsidP="002645CE"/>
        </w:tc>
        <w:tc>
          <w:tcPr>
            <w:tcW w:w="2902" w:type="dxa"/>
          </w:tcPr>
          <w:p w14:paraId="32564320" w14:textId="77777777" w:rsidR="00080A88" w:rsidRPr="006500F2" w:rsidRDefault="00080A88" w:rsidP="002645CE">
            <w:pPr>
              <w:rPr>
                <w:b/>
                <w:sz w:val="28"/>
              </w:rPr>
            </w:pPr>
          </w:p>
        </w:tc>
        <w:tc>
          <w:tcPr>
            <w:tcW w:w="2625" w:type="dxa"/>
          </w:tcPr>
          <w:p w14:paraId="62D28E81" w14:textId="2196ED92" w:rsidR="00080A88" w:rsidRPr="006500F2" w:rsidRDefault="00080A88" w:rsidP="002645CE">
            <w:pPr>
              <w:rPr>
                <w:b/>
                <w:sz w:val="28"/>
              </w:rPr>
            </w:pPr>
          </w:p>
        </w:tc>
      </w:tr>
      <w:tr w:rsidR="00080A88" w:rsidRPr="006500F2" w14:paraId="254F1AAD" w14:textId="42B1CF1E" w:rsidTr="00EC0443">
        <w:trPr>
          <w:trHeight w:val="511"/>
        </w:trPr>
        <w:tc>
          <w:tcPr>
            <w:tcW w:w="4184" w:type="dxa"/>
          </w:tcPr>
          <w:p w14:paraId="473F2A81" w14:textId="77777777" w:rsidR="00080A88" w:rsidRPr="006500F2" w:rsidRDefault="00080A88" w:rsidP="002645CE"/>
        </w:tc>
        <w:tc>
          <w:tcPr>
            <w:tcW w:w="2978" w:type="dxa"/>
            <w:vAlign w:val="center"/>
          </w:tcPr>
          <w:p w14:paraId="3AF43588" w14:textId="6F7C1D58" w:rsidR="00080A88" w:rsidRPr="006500F2" w:rsidRDefault="00080A88" w:rsidP="002645CE"/>
        </w:tc>
        <w:tc>
          <w:tcPr>
            <w:tcW w:w="2902" w:type="dxa"/>
          </w:tcPr>
          <w:p w14:paraId="4256A5F8" w14:textId="77777777" w:rsidR="00080A88" w:rsidRPr="006500F2" w:rsidRDefault="00080A88" w:rsidP="002645CE">
            <w:pPr>
              <w:rPr>
                <w:b/>
                <w:sz w:val="28"/>
              </w:rPr>
            </w:pPr>
          </w:p>
        </w:tc>
        <w:tc>
          <w:tcPr>
            <w:tcW w:w="2625" w:type="dxa"/>
          </w:tcPr>
          <w:p w14:paraId="3A638D16" w14:textId="77777777" w:rsidR="00080A88" w:rsidRPr="006500F2" w:rsidRDefault="00080A88" w:rsidP="002645CE">
            <w:pPr>
              <w:rPr>
                <w:b/>
                <w:sz w:val="28"/>
              </w:rPr>
            </w:pPr>
          </w:p>
        </w:tc>
      </w:tr>
      <w:tr w:rsidR="00080A88" w:rsidRPr="006500F2" w14:paraId="79D62BD0" w14:textId="18286102" w:rsidTr="00EC0443">
        <w:trPr>
          <w:trHeight w:val="511"/>
        </w:trPr>
        <w:tc>
          <w:tcPr>
            <w:tcW w:w="4184" w:type="dxa"/>
          </w:tcPr>
          <w:p w14:paraId="5087929A" w14:textId="77777777" w:rsidR="00080A88" w:rsidRPr="006500F2" w:rsidRDefault="00080A88" w:rsidP="002645CE"/>
        </w:tc>
        <w:tc>
          <w:tcPr>
            <w:tcW w:w="2978" w:type="dxa"/>
            <w:vAlign w:val="center"/>
          </w:tcPr>
          <w:p w14:paraId="7C0FF84E" w14:textId="77777777" w:rsidR="00080A88" w:rsidRPr="006500F2" w:rsidRDefault="00080A88" w:rsidP="002645CE"/>
        </w:tc>
        <w:tc>
          <w:tcPr>
            <w:tcW w:w="2902" w:type="dxa"/>
          </w:tcPr>
          <w:p w14:paraId="0BB5CACA" w14:textId="77777777" w:rsidR="00080A88" w:rsidRPr="006500F2" w:rsidRDefault="00080A88" w:rsidP="002645CE">
            <w:pPr>
              <w:rPr>
                <w:b/>
                <w:sz w:val="28"/>
              </w:rPr>
            </w:pPr>
          </w:p>
        </w:tc>
        <w:tc>
          <w:tcPr>
            <w:tcW w:w="2625" w:type="dxa"/>
          </w:tcPr>
          <w:p w14:paraId="601E3F4C" w14:textId="77777777" w:rsidR="00080A88" w:rsidRPr="006500F2" w:rsidRDefault="00080A88" w:rsidP="002645CE">
            <w:pPr>
              <w:rPr>
                <w:b/>
                <w:sz w:val="28"/>
              </w:rPr>
            </w:pPr>
          </w:p>
        </w:tc>
      </w:tr>
    </w:tbl>
    <w:p w14:paraId="59A3A000" w14:textId="77777777" w:rsidR="00E178EB" w:rsidRDefault="00E178EB" w:rsidP="007C6546">
      <w:pPr>
        <w:pStyle w:val="Heading2"/>
        <w:spacing w:after="240"/>
        <w:rPr>
          <w:rFonts w:eastAsia="Times New Roman" w:cs="Arial"/>
          <w:b w:val="0"/>
          <w:noProof w:val="0"/>
          <w:sz w:val="28"/>
          <w:szCs w:val="28"/>
          <w:lang w:val="fr-CA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9"/>
      </w:tblGrid>
      <w:tr w:rsidR="00D8657C" w14:paraId="617C73C4" w14:textId="77777777" w:rsidTr="00D8657C">
        <w:tc>
          <w:tcPr>
            <w:tcW w:w="12689" w:type="dxa"/>
          </w:tcPr>
          <w:p w14:paraId="240EA92A" w14:textId="3BE85EF8" w:rsidR="00D8657C" w:rsidRDefault="00D8657C" w:rsidP="00D8657C">
            <w:r w:rsidRPr="006500F2">
              <w:rPr>
                <w:b/>
                <w:sz w:val="28"/>
              </w:rPr>
              <w:t xml:space="preserve">Total </w:t>
            </w:r>
            <w:r>
              <w:rPr>
                <w:b/>
                <w:sz w:val="28"/>
              </w:rPr>
              <w:t>pour tous les employés</w:t>
            </w:r>
            <w:r w:rsidRPr="006500F2">
              <w:rPr>
                <w:b/>
                <w:sz w:val="28"/>
              </w:rPr>
              <w:t xml:space="preserve"> ($)</w:t>
            </w:r>
            <w:r>
              <w:rPr>
                <w:b/>
                <w:sz w:val="28"/>
              </w:rPr>
              <w:t xml:space="preserve"> = </w:t>
            </w:r>
          </w:p>
        </w:tc>
      </w:tr>
    </w:tbl>
    <w:p w14:paraId="7926B27A" w14:textId="77777777" w:rsidR="00D8657C" w:rsidRPr="00D8657C" w:rsidRDefault="00D8657C" w:rsidP="00D865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9"/>
      </w:tblGrid>
      <w:tr w:rsidR="00D8657C" w14:paraId="3731DF9C" w14:textId="77777777" w:rsidTr="00D8657C">
        <w:tc>
          <w:tcPr>
            <w:tcW w:w="12689" w:type="dxa"/>
          </w:tcPr>
          <w:p w14:paraId="2150E36F" w14:textId="40084F4D" w:rsidR="00D8657C" w:rsidRDefault="00D8657C" w:rsidP="00E178EB">
            <w:r w:rsidRPr="006500F2">
              <w:rPr>
                <w:b/>
                <w:sz w:val="28"/>
              </w:rPr>
              <w:t>P</w:t>
            </w:r>
            <w:r>
              <w:rPr>
                <w:b/>
                <w:sz w:val="28"/>
              </w:rPr>
              <w:t>ourcentage de la masse salariale annuelle par rapport à l’année précédente</w:t>
            </w:r>
            <w:r>
              <w:rPr>
                <w:b/>
                <w:sz w:val="28"/>
              </w:rPr>
              <w:t xml:space="preserve"> = </w:t>
            </w:r>
          </w:p>
        </w:tc>
      </w:tr>
    </w:tbl>
    <w:p w14:paraId="7FF805D4" w14:textId="77777777" w:rsidR="00E178EB" w:rsidRPr="006500F2" w:rsidRDefault="00E178EB" w:rsidP="00E178EB"/>
    <w:p w14:paraId="5C38BE7D" w14:textId="77777777" w:rsidR="00E178EB" w:rsidRPr="006500F2" w:rsidRDefault="00E178EB" w:rsidP="00E178EB"/>
    <w:p w14:paraId="73DF9C6E" w14:textId="77777777" w:rsidR="00E178EB" w:rsidRPr="006500F2" w:rsidRDefault="00E178EB" w:rsidP="00E178EB"/>
    <w:p w14:paraId="0BA6265D" w14:textId="77777777" w:rsidR="00E178EB" w:rsidRPr="006500F2" w:rsidRDefault="00E178EB" w:rsidP="00E178EB"/>
    <w:p w14:paraId="73AB940D" w14:textId="57BCB84B" w:rsidR="007C6546" w:rsidRPr="006500F2" w:rsidRDefault="009D3E1A" w:rsidP="00DB7B03">
      <w:pPr>
        <w:pStyle w:val="Heading2"/>
        <w:rPr>
          <w:noProof w:val="0"/>
          <w:lang w:val="fr-CA"/>
        </w:rPr>
      </w:pPr>
      <w:bookmarkStart w:id="3" w:name="_Hlk152073252"/>
      <w:r>
        <w:rPr>
          <w:noProof w:val="0"/>
          <w:lang w:val="fr-CA"/>
        </w:rPr>
        <w:lastRenderedPageBreak/>
        <w:t>Échelonnement des augmentations de rémunération</w:t>
      </w:r>
      <w:r w:rsidR="00482B39" w:rsidRPr="006500F2">
        <w:rPr>
          <w:noProof w:val="0"/>
          <w:lang w:val="fr-CA"/>
        </w:rPr>
        <w:t xml:space="preserve"> [</w:t>
      </w:r>
      <w:r>
        <w:rPr>
          <w:noProof w:val="0"/>
          <w:lang w:val="fr-CA"/>
        </w:rPr>
        <w:t xml:space="preserve">Supprimez </w:t>
      </w:r>
      <w:r w:rsidR="004E6CD2">
        <w:rPr>
          <w:noProof w:val="0"/>
          <w:lang w:val="fr-CA"/>
        </w:rPr>
        <w:t>si non applicable</w:t>
      </w:r>
      <w:r w:rsidR="00482B39" w:rsidRPr="006500F2">
        <w:rPr>
          <w:noProof w:val="0"/>
          <w:lang w:val="fr-CA"/>
        </w:rPr>
        <w:t>]</w:t>
      </w:r>
    </w:p>
    <w:p w14:paraId="185BBE58" w14:textId="77777777" w:rsidR="007C6546" w:rsidRPr="006500F2" w:rsidRDefault="007C6546" w:rsidP="007C6546">
      <w:pPr>
        <w:rPr>
          <w:b/>
          <w:sz w:val="28"/>
          <w:szCs w:val="28"/>
        </w:rPr>
      </w:pPr>
    </w:p>
    <w:p w14:paraId="11B07C1F" w14:textId="032CBB9E" w:rsidR="007C6546" w:rsidRDefault="009D3E1A" w:rsidP="00BB3680">
      <w:pPr>
        <w:rPr>
          <w:bCs/>
          <w:sz w:val="28"/>
          <w:szCs w:val="28"/>
        </w:rPr>
      </w:pPr>
      <w:r w:rsidRPr="009D3E1A">
        <w:rPr>
          <w:bCs/>
          <w:sz w:val="28"/>
          <w:szCs w:val="28"/>
        </w:rPr>
        <w:t>Si les augmentations de</w:t>
      </w:r>
      <w:r w:rsidR="00987A8A">
        <w:rPr>
          <w:bCs/>
          <w:sz w:val="28"/>
          <w:szCs w:val="28"/>
        </w:rPr>
        <w:t xml:space="preserve"> rémunération</w:t>
      </w:r>
      <w:r w:rsidRPr="009D3E1A">
        <w:rPr>
          <w:bCs/>
          <w:sz w:val="28"/>
          <w:szCs w:val="28"/>
        </w:rPr>
        <w:t xml:space="preserve"> dues représentent plus de 1% de la masse salariale de l'année précédente, l'employeur peut choisir d'échelonner le paiement de ces augmentations [</w:t>
      </w:r>
      <w:r w:rsidR="00987A8A" w:rsidRPr="00A8438E">
        <w:rPr>
          <w:bCs/>
          <w:sz w:val="28"/>
          <w:szCs w:val="28"/>
        </w:rPr>
        <w:t>L</w:t>
      </w:r>
      <w:r w:rsidRPr="00A8438E">
        <w:rPr>
          <w:bCs/>
          <w:sz w:val="28"/>
          <w:szCs w:val="28"/>
        </w:rPr>
        <w:t>oi</w:t>
      </w:r>
      <w:r w:rsidRPr="009D3E1A">
        <w:rPr>
          <w:bCs/>
          <w:sz w:val="28"/>
          <w:szCs w:val="28"/>
        </w:rPr>
        <w:t>, art</w:t>
      </w:r>
      <w:r w:rsidR="00987A8A">
        <w:rPr>
          <w:bCs/>
          <w:sz w:val="28"/>
          <w:szCs w:val="28"/>
        </w:rPr>
        <w:t xml:space="preserve">. </w:t>
      </w:r>
      <w:r w:rsidRPr="009D3E1A">
        <w:rPr>
          <w:bCs/>
          <w:sz w:val="28"/>
          <w:szCs w:val="28"/>
        </w:rPr>
        <w:t xml:space="preserve">61, paragraphe 2]. </w:t>
      </w:r>
      <w:bookmarkEnd w:id="3"/>
      <w:r w:rsidR="003B0197">
        <w:rPr>
          <w:bCs/>
          <w:sz w:val="28"/>
          <w:szCs w:val="28"/>
        </w:rPr>
        <w:t>[</w:t>
      </w:r>
      <w:r w:rsidR="003B0197" w:rsidRPr="003B0197">
        <w:rPr>
          <w:bCs/>
          <w:sz w:val="28"/>
          <w:szCs w:val="28"/>
        </w:rPr>
        <w:t>Sélectionnez les cases à cocher ci-dessous qui s'appliquent.</w:t>
      </w:r>
      <w:r w:rsidR="003B0197">
        <w:rPr>
          <w:bCs/>
          <w:sz w:val="28"/>
          <w:szCs w:val="28"/>
        </w:rPr>
        <w:t>]</w:t>
      </w:r>
    </w:p>
    <w:p w14:paraId="1C580AD4" w14:textId="77777777" w:rsidR="004E6CD2" w:rsidRPr="006500F2" w:rsidRDefault="004E6CD2" w:rsidP="00BB3680">
      <w:pPr>
        <w:rPr>
          <w:sz w:val="28"/>
          <w:szCs w:val="28"/>
        </w:rPr>
      </w:pPr>
    </w:p>
    <w:p w14:paraId="11175F4F" w14:textId="6AD15F95" w:rsidR="004E6CD2" w:rsidRPr="00987A8A" w:rsidRDefault="00685DEE" w:rsidP="004E6CD2">
      <w:pPr>
        <w:rPr>
          <w:bCs/>
          <w:sz w:val="28"/>
          <w:szCs w:val="28"/>
        </w:rPr>
      </w:pPr>
      <w:sdt>
        <w:sdtPr>
          <w:rPr>
            <w:bCs/>
            <w:sz w:val="28"/>
            <w:szCs w:val="28"/>
          </w:rPr>
          <w:id w:val="-77046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197"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="003B0197" w:rsidRPr="003B0197">
        <w:rPr>
          <w:bCs/>
          <w:sz w:val="28"/>
          <w:szCs w:val="28"/>
        </w:rPr>
        <w:t xml:space="preserve"> </w:t>
      </w:r>
      <w:r w:rsidR="004E6CD2" w:rsidRPr="00987A8A">
        <w:rPr>
          <w:bCs/>
          <w:sz w:val="28"/>
          <w:szCs w:val="28"/>
        </w:rPr>
        <w:t>Les augmentations totales de rémunération dues représentent plus de 1% de la masse salariale totale de l'année fiscale ou civile précédente et j'ai décidé d'</w:t>
      </w:r>
      <w:r w:rsidR="004E6CD2">
        <w:rPr>
          <w:bCs/>
          <w:sz w:val="28"/>
          <w:szCs w:val="28"/>
        </w:rPr>
        <w:t xml:space="preserve">échelonner </w:t>
      </w:r>
      <w:r w:rsidR="004E6CD2" w:rsidRPr="00987A8A">
        <w:rPr>
          <w:bCs/>
          <w:sz w:val="28"/>
          <w:szCs w:val="28"/>
        </w:rPr>
        <w:t xml:space="preserve">ces augmentations de rémunération. </w:t>
      </w:r>
    </w:p>
    <w:p w14:paraId="48B023A7" w14:textId="77777777" w:rsidR="004E6CD2" w:rsidRPr="00987A8A" w:rsidRDefault="004E6CD2" w:rsidP="004E6CD2">
      <w:pPr>
        <w:rPr>
          <w:bCs/>
          <w:sz w:val="28"/>
          <w:szCs w:val="28"/>
        </w:rPr>
      </w:pPr>
    </w:p>
    <w:p w14:paraId="2854A239" w14:textId="6CBF4FCA" w:rsidR="004E6CD2" w:rsidRPr="00987A8A" w:rsidRDefault="00685DEE" w:rsidP="004E6CD2">
      <w:pPr>
        <w:rPr>
          <w:bCs/>
          <w:sz w:val="28"/>
          <w:szCs w:val="28"/>
        </w:rPr>
      </w:pPr>
      <w:sdt>
        <w:sdtPr>
          <w:rPr>
            <w:bCs/>
            <w:sz w:val="28"/>
            <w:szCs w:val="28"/>
          </w:rPr>
          <w:id w:val="-88487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197" w:rsidRPr="003B0197">
            <w:rPr>
              <w:rFonts w:ascii="Segoe UI Symbol" w:hAnsi="Segoe UI Symbol" w:cs="Segoe UI Symbol"/>
              <w:bCs/>
              <w:sz w:val="28"/>
              <w:szCs w:val="28"/>
            </w:rPr>
            <w:t>☐</w:t>
          </w:r>
        </w:sdtContent>
      </w:sdt>
      <w:r w:rsidR="003B0197" w:rsidRPr="003B0197">
        <w:rPr>
          <w:bCs/>
          <w:sz w:val="28"/>
          <w:szCs w:val="28"/>
        </w:rPr>
        <w:t xml:space="preserve"> </w:t>
      </w:r>
      <w:r w:rsidR="004E6CD2" w:rsidRPr="00987A8A">
        <w:rPr>
          <w:bCs/>
          <w:sz w:val="28"/>
          <w:szCs w:val="28"/>
        </w:rPr>
        <w:t>Un calendrier des augmentations pour cette période d</w:t>
      </w:r>
      <w:r w:rsidR="004E6CD2">
        <w:rPr>
          <w:bCs/>
          <w:sz w:val="28"/>
          <w:szCs w:val="28"/>
        </w:rPr>
        <w:t>’échelonnement</w:t>
      </w:r>
      <w:r w:rsidR="004E6CD2" w:rsidRPr="00987A8A">
        <w:rPr>
          <w:bCs/>
          <w:sz w:val="28"/>
          <w:szCs w:val="28"/>
        </w:rPr>
        <w:t xml:space="preserve"> sera fourni dans un </w:t>
      </w:r>
      <w:r w:rsidR="004E6CD2">
        <w:rPr>
          <w:bCs/>
          <w:sz w:val="28"/>
          <w:szCs w:val="28"/>
        </w:rPr>
        <w:t>affichage</w:t>
      </w:r>
      <w:r w:rsidR="004E6CD2" w:rsidRPr="00987A8A">
        <w:rPr>
          <w:bCs/>
          <w:sz w:val="28"/>
          <w:szCs w:val="28"/>
        </w:rPr>
        <w:t xml:space="preserve"> séparé.</w:t>
      </w:r>
    </w:p>
    <w:p w14:paraId="18D1C7C3" w14:textId="77777777" w:rsidR="00436955" w:rsidRPr="006500F2" w:rsidRDefault="00436955">
      <w:pPr>
        <w:spacing w:after="160" w:line="259" w:lineRule="auto"/>
        <w:rPr>
          <w:rFonts w:eastAsia="Arial"/>
          <w:sz w:val="32"/>
          <w:szCs w:val="32"/>
          <w:lang w:bidi="en-CA"/>
        </w:rPr>
      </w:pPr>
    </w:p>
    <w:p w14:paraId="005CC9E2" w14:textId="77777777" w:rsidR="00B351E5" w:rsidRPr="006500F2" w:rsidRDefault="00B351E5">
      <w:pPr>
        <w:spacing w:after="160" w:line="259" w:lineRule="auto"/>
        <w:rPr>
          <w:rFonts w:eastAsia="Arial"/>
          <w:sz w:val="32"/>
          <w:szCs w:val="32"/>
          <w:lang w:bidi="en-CA"/>
        </w:rPr>
      </w:pPr>
    </w:p>
    <w:p w14:paraId="255C773C" w14:textId="77777777" w:rsidR="00B351E5" w:rsidRPr="006500F2" w:rsidRDefault="00B351E5">
      <w:pPr>
        <w:spacing w:after="160" w:line="259" w:lineRule="auto"/>
        <w:rPr>
          <w:rFonts w:eastAsia="Arial"/>
          <w:sz w:val="32"/>
          <w:szCs w:val="32"/>
          <w:lang w:bidi="en-CA"/>
        </w:rPr>
      </w:pPr>
    </w:p>
    <w:p w14:paraId="0B8CDDC9" w14:textId="77777777" w:rsidR="003B0197" w:rsidRDefault="003B0197" w:rsidP="00436955">
      <w:pPr>
        <w:rPr>
          <w:b/>
          <w:bCs/>
          <w:sz w:val="32"/>
          <w:szCs w:val="32"/>
        </w:rPr>
      </w:pPr>
    </w:p>
    <w:p w14:paraId="466F01E6" w14:textId="77777777" w:rsidR="003B0197" w:rsidRDefault="003B0197" w:rsidP="00436955">
      <w:pPr>
        <w:rPr>
          <w:b/>
          <w:bCs/>
          <w:sz w:val="32"/>
          <w:szCs w:val="32"/>
        </w:rPr>
      </w:pPr>
    </w:p>
    <w:p w14:paraId="003A35C0" w14:textId="77777777" w:rsidR="003B0197" w:rsidRDefault="003B0197" w:rsidP="00436955">
      <w:pPr>
        <w:rPr>
          <w:b/>
          <w:bCs/>
          <w:sz w:val="32"/>
          <w:szCs w:val="32"/>
        </w:rPr>
      </w:pPr>
    </w:p>
    <w:p w14:paraId="4FBAF9BB" w14:textId="77777777" w:rsidR="003B0197" w:rsidRDefault="003B0197" w:rsidP="00436955">
      <w:pPr>
        <w:rPr>
          <w:b/>
          <w:bCs/>
          <w:sz w:val="32"/>
          <w:szCs w:val="32"/>
        </w:rPr>
      </w:pPr>
    </w:p>
    <w:p w14:paraId="753E7BE9" w14:textId="77777777" w:rsidR="003B0197" w:rsidRDefault="003B0197" w:rsidP="00436955">
      <w:pPr>
        <w:rPr>
          <w:b/>
          <w:bCs/>
          <w:sz w:val="32"/>
          <w:szCs w:val="32"/>
        </w:rPr>
      </w:pPr>
    </w:p>
    <w:p w14:paraId="07F05C78" w14:textId="77777777" w:rsidR="003B0197" w:rsidRDefault="003B0197" w:rsidP="00436955">
      <w:pPr>
        <w:rPr>
          <w:b/>
          <w:bCs/>
          <w:sz w:val="32"/>
          <w:szCs w:val="32"/>
        </w:rPr>
      </w:pPr>
    </w:p>
    <w:p w14:paraId="558BA1F4" w14:textId="77777777" w:rsidR="003B0197" w:rsidRDefault="003B0197" w:rsidP="00436955">
      <w:pPr>
        <w:rPr>
          <w:b/>
          <w:bCs/>
          <w:sz w:val="32"/>
          <w:szCs w:val="32"/>
        </w:rPr>
      </w:pPr>
    </w:p>
    <w:p w14:paraId="32A61BD6" w14:textId="77777777" w:rsidR="003B0197" w:rsidRDefault="003B0197" w:rsidP="00436955">
      <w:pPr>
        <w:rPr>
          <w:b/>
          <w:bCs/>
          <w:sz w:val="32"/>
          <w:szCs w:val="32"/>
        </w:rPr>
      </w:pPr>
    </w:p>
    <w:p w14:paraId="31407156" w14:textId="77777777" w:rsidR="003B0197" w:rsidRDefault="003B0197" w:rsidP="00436955">
      <w:pPr>
        <w:rPr>
          <w:b/>
          <w:bCs/>
          <w:sz w:val="32"/>
          <w:szCs w:val="32"/>
        </w:rPr>
      </w:pPr>
    </w:p>
    <w:p w14:paraId="3767CFCD" w14:textId="2986BE54" w:rsidR="00436955" w:rsidRPr="000E3B82" w:rsidRDefault="00B21994" w:rsidP="003B0197">
      <w:pPr>
        <w:pStyle w:val="Heading2"/>
        <w:rPr>
          <w:lang w:val="fr-CA"/>
        </w:rPr>
      </w:pPr>
      <w:r w:rsidRPr="000E3B82">
        <w:rPr>
          <w:lang w:val="fr-CA"/>
        </w:rPr>
        <w:lastRenderedPageBreak/>
        <w:t>Sommes forfaitaires et intérêts dus aux employés</w:t>
      </w:r>
      <w:r w:rsidR="008F1176" w:rsidRPr="000E3B82">
        <w:rPr>
          <w:lang w:val="fr-CA"/>
        </w:rPr>
        <w:t xml:space="preserve"> [</w:t>
      </w:r>
      <w:r w:rsidRPr="000E3B82">
        <w:rPr>
          <w:lang w:val="fr-CA"/>
        </w:rPr>
        <w:t>Supprime</w:t>
      </w:r>
      <w:r w:rsidR="009D6E6A" w:rsidRPr="000E3B82">
        <w:rPr>
          <w:lang w:val="fr-CA"/>
        </w:rPr>
        <w:t>z</w:t>
      </w:r>
      <w:r w:rsidRPr="000E3B82">
        <w:rPr>
          <w:lang w:val="fr-CA"/>
        </w:rPr>
        <w:t xml:space="preserve"> si non applicable</w:t>
      </w:r>
      <w:r w:rsidR="008F1176" w:rsidRPr="000E3B82">
        <w:rPr>
          <w:lang w:val="fr-CA"/>
        </w:rPr>
        <w:t>]</w:t>
      </w:r>
      <w:r w:rsidR="00436955" w:rsidRPr="000E3B82">
        <w:rPr>
          <w:lang w:val="fr-CA"/>
        </w:rPr>
        <w:t xml:space="preserve"> </w:t>
      </w:r>
    </w:p>
    <w:p w14:paraId="349AEBA9" w14:textId="77777777" w:rsidR="00436955" w:rsidRPr="006500F2" w:rsidRDefault="00436955" w:rsidP="00436955">
      <w:pPr>
        <w:rPr>
          <w:b/>
          <w:sz w:val="28"/>
          <w:szCs w:val="28"/>
        </w:rPr>
      </w:pPr>
    </w:p>
    <w:p w14:paraId="2D58910B" w14:textId="31297177" w:rsidR="00F0710A" w:rsidRPr="00F0710A" w:rsidRDefault="00F0710A" w:rsidP="00F0710A">
      <w:pPr>
        <w:rPr>
          <w:sz w:val="28"/>
          <w:szCs w:val="28"/>
        </w:rPr>
      </w:pPr>
      <w:r w:rsidRPr="00F0710A">
        <w:rPr>
          <w:sz w:val="28"/>
          <w:szCs w:val="28"/>
        </w:rPr>
        <w:t>Les employeurs qui ont été autorisés par l</w:t>
      </w:r>
      <w:r>
        <w:rPr>
          <w:sz w:val="28"/>
          <w:szCs w:val="28"/>
        </w:rPr>
        <w:t>a</w:t>
      </w:r>
      <w:r w:rsidRPr="00F0710A">
        <w:rPr>
          <w:sz w:val="28"/>
          <w:szCs w:val="28"/>
        </w:rPr>
        <w:t xml:space="preserve"> commissaire à l'équité salariale à </w:t>
      </w:r>
      <w:r w:rsidRPr="00F0710A">
        <w:rPr>
          <w:b/>
          <w:bCs/>
          <w:sz w:val="28"/>
          <w:szCs w:val="28"/>
        </w:rPr>
        <w:t>reporter la date limite</w:t>
      </w:r>
      <w:r w:rsidRPr="00F0710A">
        <w:rPr>
          <w:sz w:val="28"/>
          <w:szCs w:val="28"/>
        </w:rPr>
        <w:t xml:space="preserve"> d'affichage de leur plan d'équité salariale</w:t>
      </w:r>
      <w:r w:rsidR="00FC2C1A">
        <w:rPr>
          <w:sz w:val="28"/>
          <w:szCs w:val="28"/>
        </w:rPr>
        <w:t xml:space="preserve"> final</w:t>
      </w:r>
      <w:r w:rsidRPr="00F0710A">
        <w:rPr>
          <w:sz w:val="28"/>
          <w:szCs w:val="28"/>
        </w:rPr>
        <w:t xml:space="preserve"> doivent verser des sommes forfaitaires aux employés et anciens employés qui ont droit à une augmentation de </w:t>
      </w:r>
      <w:r>
        <w:rPr>
          <w:sz w:val="28"/>
          <w:szCs w:val="28"/>
        </w:rPr>
        <w:t>rémunération</w:t>
      </w:r>
      <w:r w:rsidRPr="00F0710A">
        <w:rPr>
          <w:sz w:val="28"/>
          <w:szCs w:val="28"/>
        </w:rPr>
        <w:t xml:space="preserve"> [</w:t>
      </w:r>
      <w:r w:rsidRPr="00A8438E">
        <w:rPr>
          <w:sz w:val="28"/>
          <w:szCs w:val="28"/>
        </w:rPr>
        <w:t>Loi</w:t>
      </w:r>
      <w:r w:rsidRPr="00F0710A">
        <w:rPr>
          <w:sz w:val="28"/>
          <w:szCs w:val="28"/>
        </w:rPr>
        <w:t xml:space="preserve">, art. 62(2) et 62(7)]. </w:t>
      </w:r>
    </w:p>
    <w:p w14:paraId="39C1154F" w14:textId="77777777" w:rsidR="00F0710A" w:rsidRPr="00F0710A" w:rsidRDefault="00F0710A" w:rsidP="00F0710A">
      <w:pPr>
        <w:rPr>
          <w:sz w:val="28"/>
          <w:szCs w:val="28"/>
        </w:rPr>
      </w:pPr>
    </w:p>
    <w:p w14:paraId="3F5B4806" w14:textId="0DD7F4E1" w:rsidR="00F0710A" w:rsidRPr="00F0710A" w:rsidRDefault="00F0710A" w:rsidP="00F0710A">
      <w:pPr>
        <w:rPr>
          <w:sz w:val="28"/>
          <w:szCs w:val="28"/>
        </w:rPr>
      </w:pPr>
      <w:r w:rsidRPr="00F0710A">
        <w:rPr>
          <w:sz w:val="28"/>
          <w:szCs w:val="28"/>
        </w:rPr>
        <w:t xml:space="preserve">Les </w:t>
      </w:r>
      <w:r>
        <w:rPr>
          <w:sz w:val="28"/>
          <w:szCs w:val="28"/>
        </w:rPr>
        <w:t>somme</w:t>
      </w:r>
      <w:r w:rsidRPr="00F0710A">
        <w:rPr>
          <w:sz w:val="28"/>
          <w:szCs w:val="28"/>
        </w:rPr>
        <w:t>s forfaitaires doivent être éga</w:t>
      </w:r>
      <w:r>
        <w:rPr>
          <w:sz w:val="28"/>
          <w:szCs w:val="28"/>
        </w:rPr>
        <w:t>les</w:t>
      </w:r>
      <w:r w:rsidRPr="00F0710A">
        <w:rPr>
          <w:sz w:val="28"/>
          <w:szCs w:val="28"/>
        </w:rPr>
        <w:t xml:space="preserve"> au montant en dollars qui aurait été payable si aucune prolongation n'avait été accordée [</w:t>
      </w:r>
      <w:r w:rsidRPr="00A8438E">
        <w:rPr>
          <w:sz w:val="28"/>
          <w:szCs w:val="28"/>
        </w:rPr>
        <w:t>Loi</w:t>
      </w:r>
      <w:r w:rsidRPr="00F0710A">
        <w:rPr>
          <w:sz w:val="28"/>
          <w:szCs w:val="28"/>
        </w:rPr>
        <w:t>, article 62(2)].</w:t>
      </w:r>
    </w:p>
    <w:p w14:paraId="2BE6DD3B" w14:textId="77777777" w:rsidR="00F0710A" w:rsidRPr="00F0710A" w:rsidRDefault="00F0710A" w:rsidP="00F0710A">
      <w:pPr>
        <w:rPr>
          <w:sz w:val="28"/>
          <w:szCs w:val="28"/>
        </w:rPr>
      </w:pPr>
    </w:p>
    <w:p w14:paraId="57D38EF2" w14:textId="08D59FBC" w:rsidR="00F0710A" w:rsidRDefault="00F0710A" w:rsidP="00F0710A">
      <w:pPr>
        <w:rPr>
          <w:sz w:val="28"/>
          <w:szCs w:val="28"/>
        </w:rPr>
      </w:pPr>
      <w:r w:rsidRPr="00F0710A">
        <w:rPr>
          <w:sz w:val="28"/>
          <w:szCs w:val="28"/>
        </w:rPr>
        <w:t xml:space="preserve">Les employeurs tenus de verser des sommes forfaitaires doivent également payer des intérêts, conformément à l'article 62(5) de la </w:t>
      </w:r>
      <w:r w:rsidRPr="00F0710A">
        <w:rPr>
          <w:i/>
          <w:iCs/>
          <w:sz w:val="28"/>
          <w:szCs w:val="28"/>
        </w:rPr>
        <w:t>Loi sur l'équité salariale</w:t>
      </w:r>
      <w:r w:rsidRPr="00F0710A">
        <w:rPr>
          <w:sz w:val="28"/>
          <w:szCs w:val="28"/>
        </w:rPr>
        <w:t xml:space="preserve">. Les intérêts sont calculés et composés quotidiennement au taux annuel de 2% </w:t>
      </w:r>
      <w:r w:rsidRPr="00A8438E">
        <w:rPr>
          <w:b/>
          <w:bCs/>
          <w:sz w:val="28"/>
          <w:szCs w:val="28"/>
        </w:rPr>
        <w:t>et</w:t>
      </w:r>
      <w:r w:rsidRPr="00F0710A">
        <w:rPr>
          <w:sz w:val="28"/>
          <w:szCs w:val="28"/>
        </w:rPr>
        <w:t xml:space="preserve"> au taux </w:t>
      </w:r>
      <w:r>
        <w:rPr>
          <w:sz w:val="28"/>
          <w:szCs w:val="28"/>
        </w:rPr>
        <w:t>bancaire</w:t>
      </w:r>
      <w:r w:rsidRPr="00F0710A">
        <w:rPr>
          <w:sz w:val="28"/>
          <w:szCs w:val="28"/>
        </w:rPr>
        <w:t xml:space="preserve"> en vigueur le jour où ils sont calculés, pour la période commençant le premier jour </w:t>
      </w:r>
      <w:r>
        <w:rPr>
          <w:sz w:val="28"/>
          <w:szCs w:val="28"/>
        </w:rPr>
        <w:t>suivant</w:t>
      </w:r>
      <w:r w:rsidRPr="00F0710A">
        <w:rPr>
          <w:sz w:val="28"/>
          <w:szCs w:val="28"/>
        </w:rPr>
        <w:t xml:space="preserve"> le jour où le montant devait être payé et se terminant le jour où le montant est payé [</w:t>
      </w:r>
      <w:r w:rsidRPr="00A8438E">
        <w:rPr>
          <w:sz w:val="28"/>
          <w:szCs w:val="28"/>
        </w:rPr>
        <w:t>Loi</w:t>
      </w:r>
      <w:r w:rsidRPr="00F0710A">
        <w:rPr>
          <w:sz w:val="28"/>
          <w:szCs w:val="28"/>
        </w:rPr>
        <w:t>, articles 62(5) et 62(6)].</w:t>
      </w:r>
    </w:p>
    <w:p w14:paraId="296F6421" w14:textId="77777777" w:rsidR="00436955" w:rsidRPr="006500F2" w:rsidRDefault="00436955" w:rsidP="00436955">
      <w:pPr>
        <w:rPr>
          <w:sz w:val="28"/>
          <w:szCs w:val="28"/>
        </w:rPr>
      </w:pPr>
    </w:p>
    <w:p w14:paraId="1B313557" w14:textId="77777777" w:rsidR="00D36C5D" w:rsidRPr="006500F2" w:rsidRDefault="00D36C5D" w:rsidP="00436955">
      <w:pPr>
        <w:rPr>
          <w:sz w:val="28"/>
          <w:szCs w:val="28"/>
        </w:rPr>
      </w:pPr>
    </w:p>
    <w:p w14:paraId="630B86C6" w14:textId="77777777" w:rsidR="00D36C5D" w:rsidRPr="006500F2" w:rsidRDefault="00D36C5D" w:rsidP="00436955">
      <w:pPr>
        <w:rPr>
          <w:sz w:val="28"/>
          <w:szCs w:val="28"/>
        </w:rPr>
      </w:pPr>
    </w:p>
    <w:p w14:paraId="0109378B" w14:textId="77777777" w:rsidR="00D36C5D" w:rsidRPr="006500F2" w:rsidRDefault="00D36C5D" w:rsidP="00436955">
      <w:pPr>
        <w:rPr>
          <w:sz w:val="28"/>
          <w:szCs w:val="28"/>
        </w:rPr>
      </w:pPr>
    </w:p>
    <w:p w14:paraId="36E97686" w14:textId="77777777" w:rsidR="00943404" w:rsidRPr="006500F2" w:rsidRDefault="00943404" w:rsidP="00DB7B03">
      <w:pPr>
        <w:pStyle w:val="Heading2"/>
        <w:rPr>
          <w:noProof w:val="0"/>
          <w:lang w:val="fr-CA"/>
        </w:rPr>
      </w:pPr>
    </w:p>
    <w:p w14:paraId="09E53467" w14:textId="77777777" w:rsidR="00943404" w:rsidRPr="006500F2" w:rsidRDefault="00943404" w:rsidP="00DB7B03">
      <w:pPr>
        <w:pStyle w:val="Heading2"/>
        <w:rPr>
          <w:noProof w:val="0"/>
          <w:lang w:val="fr-CA"/>
        </w:rPr>
      </w:pPr>
    </w:p>
    <w:p w14:paraId="60B61638" w14:textId="77777777" w:rsidR="00943404" w:rsidRPr="006500F2" w:rsidRDefault="00943404" w:rsidP="00DB7B03">
      <w:pPr>
        <w:pStyle w:val="Heading2"/>
        <w:rPr>
          <w:noProof w:val="0"/>
          <w:lang w:val="fr-CA"/>
        </w:rPr>
      </w:pPr>
    </w:p>
    <w:p w14:paraId="406DA143" w14:textId="77777777" w:rsidR="00943404" w:rsidRPr="006500F2" w:rsidRDefault="00943404" w:rsidP="00DB7B03">
      <w:pPr>
        <w:pStyle w:val="Heading2"/>
        <w:rPr>
          <w:noProof w:val="0"/>
          <w:lang w:val="fr-CA"/>
        </w:rPr>
      </w:pPr>
    </w:p>
    <w:p w14:paraId="1D5A6BB0" w14:textId="77777777" w:rsidR="006F1240" w:rsidRPr="006500F2" w:rsidRDefault="006F1240" w:rsidP="006F1240">
      <w:pPr>
        <w:rPr>
          <w:lang w:bidi="en-CA"/>
        </w:rPr>
      </w:pPr>
    </w:p>
    <w:p w14:paraId="7FC70534" w14:textId="77777777" w:rsidR="00943404" w:rsidRPr="006500F2" w:rsidRDefault="00943404" w:rsidP="00DB7B03">
      <w:pPr>
        <w:pStyle w:val="Heading2"/>
        <w:rPr>
          <w:noProof w:val="0"/>
          <w:lang w:val="fr-CA"/>
        </w:rPr>
      </w:pPr>
    </w:p>
    <w:p w14:paraId="02A87F41" w14:textId="77777777" w:rsidR="00943404" w:rsidRPr="006500F2" w:rsidRDefault="00943404" w:rsidP="00943404">
      <w:pPr>
        <w:rPr>
          <w:lang w:bidi="en-CA"/>
        </w:rPr>
      </w:pPr>
    </w:p>
    <w:p w14:paraId="3C5B3092" w14:textId="77777777" w:rsidR="00943404" w:rsidRPr="006500F2" w:rsidRDefault="00943404" w:rsidP="00C363F8">
      <w:pPr>
        <w:rPr>
          <w:lang w:bidi="en-CA"/>
        </w:rPr>
      </w:pPr>
    </w:p>
    <w:p w14:paraId="31610C59" w14:textId="5CAB7EA0" w:rsidR="00436955" w:rsidRPr="006500F2" w:rsidRDefault="009928B2" w:rsidP="00DB7B03">
      <w:pPr>
        <w:pStyle w:val="Heading2"/>
        <w:rPr>
          <w:noProof w:val="0"/>
          <w:lang w:val="fr-CA"/>
        </w:rPr>
      </w:pPr>
      <w:r>
        <w:rPr>
          <w:noProof w:val="0"/>
          <w:lang w:val="fr-CA"/>
        </w:rPr>
        <w:lastRenderedPageBreak/>
        <w:t>Sommes forfaitaires</w:t>
      </w:r>
    </w:p>
    <w:p w14:paraId="5C005721" w14:textId="3A621685" w:rsidR="00943404" w:rsidRPr="006500F2" w:rsidRDefault="00943404" w:rsidP="00943404">
      <w:pPr>
        <w:rPr>
          <w:sz w:val="28"/>
          <w:szCs w:val="28"/>
        </w:rPr>
      </w:pPr>
      <w:r w:rsidRPr="006500F2">
        <w:rPr>
          <w:sz w:val="28"/>
          <w:szCs w:val="28"/>
        </w:rPr>
        <w:t>[</w:t>
      </w:r>
      <w:r w:rsidR="00D773E6">
        <w:rPr>
          <w:sz w:val="28"/>
          <w:szCs w:val="28"/>
        </w:rPr>
        <w:t>Instruc</w:t>
      </w:r>
      <w:r w:rsidRPr="006500F2">
        <w:rPr>
          <w:sz w:val="28"/>
          <w:szCs w:val="28"/>
        </w:rPr>
        <w:t xml:space="preserve">tions: </w:t>
      </w:r>
      <w:r w:rsidR="009928B2">
        <w:rPr>
          <w:sz w:val="28"/>
          <w:szCs w:val="28"/>
        </w:rPr>
        <w:t>Modifiez le tableau ci-dessous en fonction de votre milieu de travail. Des lignes peuvent être ajoutées.</w:t>
      </w:r>
      <w:r w:rsidRPr="006500F2">
        <w:rPr>
          <w:sz w:val="28"/>
          <w:szCs w:val="28"/>
        </w:rPr>
        <w:t>]</w:t>
      </w:r>
    </w:p>
    <w:p w14:paraId="73237B4F" w14:textId="77777777" w:rsidR="00436955" w:rsidRPr="006500F2" w:rsidRDefault="00436955" w:rsidP="00436955"/>
    <w:p w14:paraId="333E82C1" w14:textId="29B66A32" w:rsidR="00436955" w:rsidRDefault="009928B2" w:rsidP="00436955">
      <w:pPr>
        <w:rPr>
          <w:sz w:val="28"/>
          <w:szCs w:val="28"/>
        </w:rPr>
      </w:pPr>
      <w:r w:rsidRPr="009928B2">
        <w:rPr>
          <w:sz w:val="28"/>
          <w:szCs w:val="28"/>
        </w:rPr>
        <w:t xml:space="preserve">Le tableau ci-dessous présente les </w:t>
      </w:r>
      <w:r>
        <w:rPr>
          <w:sz w:val="28"/>
          <w:szCs w:val="28"/>
        </w:rPr>
        <w:t>somme</w:t>
      </w:r>
      <w:r w:rsidRPr="009928B2">
        <w:rPr>
          <w:sz w:val="28"/>
          <w:szCs w:val="28"/>
        </w:rPr>
        <w:t>s forfaitaires du</w:t>
      </w:r>
      <w:r>
        <w:rPr>
          <w:sz w:val="28"/>
          <w:szCs w:val="28"/>
        </w:rPr>
        <w:t>e</w:t>
      </w:r>
      <w:r w:rsidRPr="009928B2">
        <w:rPr>
          <w:sz w:val="28"/>
          <w:szCs w:val="28"/>
        </w:rPr>
        <w:t>s à chaque</w:t>
      </w:r>
      <w:r w:rsidR="00521885">
        <w:rPr>
          <w:sz w:val="28"/>
          <w:szCs w:val="28"/>
        </w:rPr>
        <w:t xml:space="preserve"> emploi </w:t>
      </w:r>
      <w:r w:rsidR="00F66B3A">
        <w:rPr>
          <w:sz w:val="28"/>
          <w:szCs w:val="28"/>
        </w:rPr>
        <w:t>au sein de</w:t>
      </w:r>
      <w:r w:rsidR="00521885">
        <w:rPr>
          <w:sz w:val="28"/>
          <w:szCs w:val="28"/>
        </w:rPr>
        <w:t xml:space="preserve"> chaque</w:t>
      </w:r>
      <w:r w:rsidRPr="009928B2">
        <w:rPr>
          <w:sz w:val="28"/>
          <w:szCs w:val="28"/>
        </w:rPr>
        <w:t xml:space="preserve"> catégorie d'emploi à prédominance féminine éligible à une augmentation de rémunération.</w:t>
      </w:r>
    </w:p>
    <w:p w14:paraId="6E10F9EB" w14:textId="77777777" w:rsidR="00176594" w:rsidRPr="006500F2" w:rsidRDefault="00176594" w:rsidP="00436955">
      <w:pPr>
        <w:rPr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76"/>
        <w:gridCol w:w="3756"/>
        <w:gridCol w:w="3657"/>
      </w:tblGrid>
      <w:tr w:rsidR="002646A8" w:rsidRPr="006500F2" w14:paraId="22183EEE" w14:textId="77777777" w:rsidTr="002646A8">
        <w:trPr>
          <w:trHeight w:val="553"/>
        </w:trPr>
        <w:tc>
          <w:tcPr>
            <w:tcW w:w="2079" w:type="pct"/>
            <w:shd w:val="clear" w:color="auto" w:fill="DEEAF6" w:themeFill="accent1" w:themeFillTint="33"/>
            <w:vAlign w:val="center"/>
          </w:tcPr>
          <w:p w14:paraId="7692C1EE" w14:textId="5B4BDB25" w:rsidR="002646A8" w:rsidRPr="006500F2" w:rsidRDefault="009928B2" w:rsidP="00426BF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Catégorie d’emploi</w:t>
            </w:r>
          </w:p>
        </w:tc>
        <w:tc>
          <w:tcPr>
            <w:tcW w:w="1480" w:type="pct"/>
            <w:shd w:val="clear" w:color="auto" w:fill="DEEAF6" w:themeFill="accent1" w:themeFillTint="33"/>
            <w:vAlign w:val="center"/>
          </w:tcPr>
          <w:p w14:paraId="7726C8DC" w14:textId="19281635" w:rsidR="002646A8" w:rsidRPr="006500F2" w:rsidRDefault="00521885" w:rsidP="00426BF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Emploi</w:t>
            </w:r>
          </w:p>
        </w:tc>
        <w:tc>
          <w:tcPr>
            <w:tcW w:w="1442" w:type="pct"/>
            <w:shd w:val="clear" w:color="auto" w:fill="DEEAF6" w:themeFill="accent1" w:themeFillTint="33"/>
            <w:vAlign w:val="center"/>
          </w:tcPr>
          <w:p w14:paraId="25F49470" w14:textId="3BE4A8E3" w:rsidR="002646A8" w:rsidRPr="006500F2" w:rsidRDefault="00F66B3A" w:rsidP="00426BF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Total de la s</w:t>
            </w:r>
            <w:r w:rsidR="009928B2">
              <w:rPr>
                <w:b/>
                <w:sz w:val="28"/>
              </w:rPr>
              <w:t xml:space="preserve">omme forfaitaire </w:t>
            </w:r>
            <w:r w:rsidRPr="00F66B3A">
              <w:rPr>
                <w:b/>
                <w:sz w:val="28"/>
              </w:rPr>
              <w:t xml:space="preserve">et </w:t>
            </w:r>
            <w:r>
              <w:rPr>
                <w:b/>
                <w:sz w:val="28"/>
              </w:rPr>
              <w:t xml:space="preserve">des </w:t>
            </w:r>
            <w:r w:rsidRPr="00F66B3A">
              <w:rPr>
                <w:b/>
                <w:sz w:val="28"/>
              </w:rPr>
              <w:t xml:space="preserve">intérêts dus à chaque </w:t>
            </w:r>
            <w:r>
              <w:rPr>
                <w:b/>
                <w:sz w:val="28"/>
              </w:rPr>
              <w:t>emploi</w:t>
            </w:r>
            <w:r w:rsidRPr="00F66B3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au sein de </w:t>
            </w:r>
            <w:r w:rsidRPr="00F66B3A">
              <w:rPr>
                <w:b/>
                <w:sz w:val="28"/>
              </w:rPr>
              <w:t>la catégorie d'emplois ($)</w:t>
            </w:r>
          </w:p>
        </w:tc>
      </w:tr>
      <w:tr w:rsidR="002646A8" w:rsidRPr="006500F2" w14:paraId="61F2902E" w14:textId="77777777" w:rsidTr="002646A8">
        <w:trPr>
          <w:trHeight w:val="529"/>
        </w:trPr>
        <w:tc>
          <w:tcPr>
            <w:tcW w:w="2079" w:type="pct"/>
          </w:tcPr>
          <w:p w14:paraId="1732E67D" w14:textId="77777777" w:rsidR="002646A8" w:rsidRPr="006500F2" w:rsidRDefault="002646A8" w:rsidP="00426BF3">
            <w:r w:rsidRPr="006500F2">
              <w:t xml:space="preserve"> </w:t>
            </w:r>
          </w:p>
        </w:tc>
        <w:tc>
          <w:tcPr>
            <w:tcW w:w="1480" w:type="pct"/>
            <w:vAlign w:val="center"/>
          </w:tcPr>
          <w:p w14:paraId="16C0FB77" w14:textId="77777777" w:rsidR="002646A8" w:rsidRPr="006500F2" w:rsidRDefault="002646A8" w:rsidP="00426BF3"/>
        </w:tc>
        <w:tc>
          <w:tcPr>
            <w:tcW w:w="1442" w:type="pct"/>
          </w:tcPr>
          <w:p w14:paraId="047BC499" w14:textId="77777777" w:rsidR="002646A8" w:rsidRPr="006500F2" w:rsidRDefault="002646A8" w:rsidP="00426BF3">
            <w:pPr>
              <w:rPr>
                <w:b/>
                <w:sz w:val="28"/>
              </w:rPr>
            </w:pPr>
          </w:p>
        </w:tc>
      </w:tr>
      <w:tr w:rsidR="002646A8" w:rsidRPr="006500F2" w14:paraId="2BCF4907" w14:textId="77777777" w:rsidTr="002646A8">
        <w:trPr>
          <w:trHeight w:val="511"/>
        </w:trPr>
        <w:tc>
          <w:tcPr>
            <w:tcW w:w="2079" w:type="pct"/>
          </w:tcPr>
          <w:p w14:paraId="31921D03" w14:textId="77777777" w:rsidR="002646A8" w:rsidRPr="006500F2" w:rsidRDefault="002646A8" w:rsidP="00426BF3"/>
        </w:tc>
        <w:tc>
          <w:tcPr>
            <w:tcW w:w="1480" w:type="pct"/>
            <w:vAlign w:val="center"/>
          </w:tcPr>
          <w:p w14:paraId="4D6FCFEF" w14:textId="77777777" w:rsidR="002646A8" w:rsidRPr="006500F2" w:rsidRDefault="002646A8" w:rsidP="00426BF3"/>
        </w:tc>
        <w:tc>
          <w:tcPr>
            <w:tcW w:w="1442" w:type="pct"/>
          </w:tcPr>
          <w:p w14:paraId="5588E77A" w14:textId="77777777" w:rsidR="002646A8" w:rsidRPr="006500F2" w:rsidRDefault="002646A8" w:rsidP="00426BF3">
            <w:pPr>
              <w:rPr>
                <w:b/>
                <w:sz w:val="28"/>
              </w:rPr>
            </w:pPr>
          </w:p>
        </w:tc>
      </w:tr>
      <w:tr w:rsidR="002646A8" w:rsidRPr="006500F2" w14:paraId="0BD37636" w14:textId="77777777" w:rsidTr="002646A8">
        <w:trPr>
          <w:trHeight w:val="511"/>
        </w:trPr>
        <w:tc>
          <w:tcPr>
            <w:tcW w:w="2079" w:type="pct"/>
          </w:tcPr>
          <w:p w14:paraId="4A316A7C" w14:textId="77777777" w:rsidR="002646A8" w:rsidRPr="006500F2" w:rsidRDefault="002646A8" w:rsidP="00426BF3"/>
        </w:tc>
        <w:tc>
          <w:tcPr>
            <w:tcW w:w="1480" w:type="pct"/>
            <w:vAlign w:val="center"/>
          </w:tcPr>
          <w:p w14:paraId="64CEF036" w14:textId="77777777" w:rsidR="002646A8" w:rsidRPr="006500F2" w:rsidRDefault="002646A8" w:rsidP="00426BF3"/>
        </w:tc>
        <w:tc>
          <w:tcPr>
            <w:tcW w:w="1442" w:type="pct"/>
          </w:tcPr>
          <w:p w14:paraId="71E2274C" w14:textId="77777777" w:rsidR="002646A8" w:rsidRPr="006500F2" w:rsidRDefault="002646A8" w:rsidP="00426BF3">
            <w:pPr>
              <w:rPr>
                <w:b/>
                <w:sz w:val="28"/>
              </w:rPr>
            </w:pPr>
          </w:p>
        </w:tc>
      </w:tr>
    </w:tbl>
    <w:p w14:paraId="7DEC8AB8" w14:textId="77777777" w:rsidR="007025BE" w:rsidRPr="006500F2" w:rsidRDefault="007025BE" w:rsidP="00436955">
      <w:pPr>
        <w:rPr>
          <w:sz w:val="28"/>
          <w:szCs w:val="28"/>
        </w:rPr>
      </w:pPr>
    </w:p>
    <w:p w14:paraId="002B061A" w14:textId="77777777" w:rsidR="00436955" w:rsidRPr="006500F2" w:rsidRDefault="00436955" w:rsidP="00436955">
      <w:pPr>
        <w:rPr>
          <w:sz w:val="28"/>
          <w:szCs w:val="28"/>
        </w:rPr>
      </w:pPr>
    </w:p>
    <w:p w14:paraId="17A0A2A5" w14:textId="77777777" w:rsidR="00436955" w:rsidRPr="006500F2" w:rsidRDefault="00436955" w:rsidP="00436955">
      <w:pPr>
        <w:spacing w:after="160" w:line="259" w:lineRule="auto"/>
        <w:rPr>
          <w:sz w:val="28"/>
          <w:szCs w:val="28"/>
        </w:rPr>
      </w:pPr>
    </w:p>
    <w:p w14:paraId="62F468C1" w14:textId="77777777" w:rsidR="002646A8" w:rsidRPr="006500F2" w:rsidRDefault="002646A8" w:rsidP="00436955">
      <w:pPr>
        <w:spacing w:after="160" w:line="259" w:lineRule="auto"/>
        <w:rPr>
          <w:sz w:val="28"/>
          <w:szCs w:val="28"/>
        </w:rPr>
      </w:pPr>
    </w:p>
    <w:p w14:paraId="6B8DEA2B" w14:textId="77777777" w:rsidR="002646A8" w:rsidRPr="006500F2" w:rsidRDefault="002646A8" w:rsidP="00436955">
      <w:pPr>
        <w:spacing w:after="160" w:line="259" w:lineRule="auto"/>
        <w:rPr>
          <w:sz w:val="28"/>
          <w:szCs w:val="28"/>
        </w:rPr>
      </w:pPr>
    </w:p>
    <w:p w14:paraId="1D68AE7F" w14:textId="77777777" w:rsidR="002646A8" w:rsidRPr="006500F2" w:rsidRDefault="002646A8" w:rsidP="00436955">
      <w:pPr>
        <w:spacing w:after="160" w:line="259" w:lineRule="auto"/>
        <w:rPr>
          <w:sz w:val="28"/>
          <w:szCs w:val="28"/>
        </w:rPr>
      </w:pPr>
    </w:p>
    <w:p w14:paraId="5CAF4A3B" w14:textId="77777777" w:rsidR="002646A8" w:rsidRPr="006500F2" w:rsidRDefault="002646A8" w:rsidP="00436955">
      <w:pPr>
        <w:spacing w:after="160" w:line="259" w:lineRule="auto"/>
        <w:rPr>
          <w:sz w:val="28"/>
          <w:szCs w:val="28"/>
        </w:rPr>
      </w:pPr>
    </w:p>
    <w:p w14:paraId="13CEA493" w14:textId="77777777" w:rsidR="002646A8" w:rsidRPr="006500F2" w:rsidRDefault="002646A8" w:rsidP="00436955">
      <w:pPr>
        <w:spacing w:after="160" w:line="259" w:lineRule="auto"/>
        <w:rPr>
          <w:sz w:val="28"/>
          <w:szCs w:val="28"/>
        </w:rPr>
      </w:pPr>
    </w:p>
    <w:p w14:paraId="2880382A" w14:textId="73FBFFB0" w:rsidR="001335A9" w:rsidRPr="006500F2" w:rsidRDefault="00471C48" w:rsidP="00DB7B03">
      <w:pPr>
        <w:pStyle w:val="Heading2"/>
        <w:rPr>
          <w:noProof w:val="0"/>
          <w:lang w:val="fr-CA"/>
        </w:rPr>
      </w:pPr>
      <w:r>
        <w:rPr>
          <w:noProof w:val="0"/>
          <w:lang w:val="fr-CA"/>
        </w:rPr>
        <w:lastRenderedPageBreak/>
        <w:t>Droits des employés</w:t>
      </w:r>
    </w:p>
    <w:p w14:paraId="4606E7FE" w14:textId="11FEC7C7" w:rsidR="00D05115" w:rsidRPr="006500F2" w:rsidRDefault="00D05115" w:rsidP="00D05115">
      <w:pPr>
        <w:rPr>
          <w:rFonts w:eastAsia="Arial"/>
          <w:lang w:bidi="en-CA"/>
        </w:rPr>
      </w:pPr>
    </w:p>
    <w:p w14:paraId="464E4BFA" w14:textId="032E9B56" w:rsidR="00471C48" w:rsidRPr="00471C48" w:rsidRDefault="00471C48" w:rsidP="00471C48">
      <w:pPr>
        <w:spacing w:after="240"/>
        <w:rPr>
          <w:rFonts w:eastAsia="Arial"/>
          <w:sz w:val="28"/>
          <w:szCs w:val="28"/>
          <w:lang w:bidi="en-CA"/>
        </w:rPr>
      </w:pPr>
      <w:r w:rsidRPr="00471C48">
        <w:rPr>
          <w:rFonts w:eastAsia="Arial"/>
          <w:sz w:val="28"/>
          <w:szCs w:val="28"/>
          <w:lang w:bidi="en-CA"/>
        </w:rPr>
        <w:t xml:space="preserve">Cet avis doit être affiché sur le lieu de travail de l'employeur, comme l'exige l'article 56(1) de la </w:t>
      </w:r>
      <w:r w:rsidRPr="000E3B82">
        <w:rPr>
          <w:rFonts w:eastAsia="Arial"/>
          <w:sz w:val="28"/>
          <w:szCs w:val="28"/>
          <w:lang w:bidi="en-CA"/>
        </w:rPr>
        <w:t>Loi sur l'équité salariale</w:t>
      </w:r>
      <w:r w:rsidR="00CB19CC" w:rsidRPr="000E3B82">
        <w:rPr>
          <w:rFonts w:eastAsia="Arial"/>
          <w:sz w:val="28"/>
          <w:szCs w:val="28"/>
          <w:lang w:bidi="en-CA"/>
        </w:rPr>
        <w:t xml:space="preserve"> </w:t>
      </w:r>
      <w:r w:rsidR="00CB19CC">
        <w:rPr>
          <w:rFonts w:eastAsia="Arial"/>
          <w:sz w:val="28"/>
          <w:szCs w:val="28"/>
          <w:lang w:bidi="en-CA"/>
        </w:rPr>
        <w:t>fédérale</w:t>
      </w:r>
      <w:r w:rsidRPr="00471C48">
        <w:rPr>
          <w:rFonts w:eastAsia="Arial"/>
          <w:sz w:val="28"/>
          <w:szCs w:val="28"/>
          <w:lang w:bidi="en-CA"/>
        </w:rPr>
        <w:t xml:space="preserve">. </w:t>
      </w:r>
    </w:p>
    <w:p w14:paraId="44C58432" w14:textId="77777777" w:rsidR="00471C48" w:rsidRPr="00471C48" w:rsidRDefault="00471C48" w:rsidP="00471C48">
      <w:pPr>
        <w:spacing w:after="240"/>
        <w:rPr>
          <w:rFonts w:eastAsia="Arial"/>
          <w:sz w:val="28"/>
          <w:szCs w:val="28"/>
          <w:lang w:bidi="en-CA"/>
        </w:rPr>
      </w:pPr>
      <w:r w:rsidRPr="00471C48">
        <w:rPr>
          <w:rFonts w:eastAsia="Arial"/>
          <w:sz w:val="28"/>
          <w:szCs w:val="28"/>
          <w:lang w:bidi="en-CA"/>
        </w:rPr>
        <w:t xml:space="preserve">Il doit être affiché sous forme imprimée et/ou électronique et de manière à être facilement et rapidement accessible à tous les employés [Règlement, art. 3]. </w:t>
      </w:r>
    </w:p>
    <w:p w14:paraId="4403D44B" w14:textId="0F4E87DC" w:rsidR="00471C48" w:rsidRPr="00471C48" w:rsidRDefault="00471C48" w:rsidP="00471C48">
      <w:pPr>
        <w:spacing w:after="240"/>
        <w:rPr>
          <w:rFonts w:eastAsia="Arial"/>
          <w:sz w:val="28"/>
          <w:szCs w:val="28"/>
          <w:lang w:bidi="en-CA"/>
        </w:rPr>
      </w:pPr>
      <w:r w:rsidRPr="00471C48">
        <w:rPr>
          <w:rFonts w:eastAsia="Arial"/>
          <w:sz w:val="28"/>
          <w:szCs w:val="28"/>
          <w:lang w:bidi="en-CA"/>
        </w:rPr>
        <w:t>Cet avis doit être affiché sous une forme accessible à tous les employés [Règlement, art</w:t>
      </w:r>
      <w:r>
        <w:rPr>
          <w:rFonts w:eastAsia="Arial"/>
          <w:sz w:val="28"/>
          <w:szCs w:val="28"/>
          <w:lang w:bidi="en-CA"/>
        </w:rPr>
        <w:t>.</w:t>
      </w:r>
      <w:r w:rsidRPr="00471C48">
        <w:rPr>
          <w:rFonts w:eastAsia="Arial"/>
          <w:sz w:val="28"/>
          <w:szCs w:val="28"/>
          <w:lang w:bidi="en-CA"/>
        </w:rPr>
        <w:t xml:space="preserve"> 4].</w:t>
      </w:r>
    </w:p>
    <w:p w14:paraId="6DEADF36" w14:textId="61E82F06" w:rsidR="00471C48" w:rsidRPr="00471C48" w:rsidRDefault="00471C48" w:rsidP="00471C48">
      <w:pPr>
        <w:spacing w:after="240"/>
        <w:rPr>
          <w:rFonts w:eastAsia="Arial"/>
          <w:sz w:val="28"/>
          <w:szCs w:val="28"/>
          <w:lang w:bidi="en-CA"/>
        </w:rPr>
      </w:pPr>
      <w:r w:rsidRPr="00471C48">
        <w:rPr>
          <w:rFonts w:eastAsia="Arial"/>
          <w:sz w:val="28"/>
          <w:szCs w:val="28"/>
          <w:lang w:bidi="en-CA"/>
        </w:rPr>
        <w:t>Si l'avis est affiché sous forme électronique, l'employeur doit fournir aux employés les renseignements nécessaires pour leur permettre d'accéder au document [Règlement, art. 5].</w:t>
      </w:r>
    </w:p>
    <w:p w14:paraId="273D8832" w14:textId="2E09EE69" w:rsidR="00471C48" w:rsidRPr="00471C48" w:rsidRDefault="00471C48" w:rsidP="00471C48">
      <w:pPr>
        <w:spacing w:after="240"/>
        <w:rPr>
          <w:rFonts w:eastAsia="Arial"/>
          <w:sz w:val="28"/>
          <w:szCs w:val="28"/>
          <w:lang w:bidi="en-CA"/>
        </w:rPr>
      </w:pPr>
      <w:r w:rsidRPr="00471C48">
        <w:rPr>
          <w:rFonts w:eastAsia="Arial"/>
          <w:sz w:val="28"/>
          <w:szCs w:val="28"/>
          <w:lang w:bidi="en-CA"/>
        </w:rPr>
        <w:t xml:space="preserve">L'employeur, </w:t>
      </w:r>
      <w:r w:rsidR="006B750D">
        <w:rPr>
          <w:rFonts w:eastAsia="Arial"/>
          <w:sz w:val="28"/>
          <w:szCs w:val="28"/>
          <w:lang w:bidi="en-CA"/>
        </w:rPr>
        <w:t xml:space="preserve">un </w:t>
      </w:r>
      <w:r w:rsidRPr="00471C48">
        <w:rPr>
          <w:rFonts w:eastAsia="Arial"/>
          <w:sz w:val="28"/>
          <w:szCs w:val="28"/>
          <w:lang w:bidi="en-CA"/>
        </w:rPr>
        <w:t xml:space="preserve">agent négociateur ou toute autre personne agissant en leur nom ne peut pénaliser les </w:t>
      </w:r>
      <w:r>
        <w:rPr>
          <w:rFonts w:eastAsia="Arial"/>
          <w:sz w:val="28"/>
          <w:szCs w:val="28"/>
          <w:lang w:bidi="en-CA"/>
        </w:rPr>
        <w:t>employé</w:t>
      </w:r>
      <w:r w:rsidRPr="00471C48">
        <w:rPr>
          <w:rFonts w:eastAsia="Arial"/>
          <w:sz w:val="28"/>
          <w:szCs w:val="28"/>
          <w:lang w:bidi="en-CA"/>
        </w:rPr>
        <w:t xml:space="preserve">s qui exercent leurs droits en vertu de la </w:t>
      </w:r>
      <w:r w:rsidRPr="000E3B82">
        <w:rPr>
          <w:rFonts w:eastAsia="Arial"/>
          <w:sz w:val="28"/>
          <w:szCs w:val="28"/>
          <w:lang w:bidi="en-CA"/>
        </w:rPr>
        <w:t>Loi sur l'équité salariale</w:t>
      </w:r>
      <w:r w:rsidRPr="00471C48">
        <w:rPr>
          <w:rFonts w:eastAsia="Arial"/>
          <w:sz w:val="28"/>
          <w:szCs w:val="28"/>
          <w:lang w:bidi="en-CA"/>
        </w:rPr>
        <w:t xml:space="preserve"> [art. 102 et 103].</w:t>
      </w:r>
    </w:p>
    <w:p w14:paraId="2702C889" w14:textId="31B5DDFF" w:rsidR="00471C48" w:rsidRPr="00471C48" w:rsidRDefault="00471C48" w:rsidP="00471C48">
      <w:pPr>
        <w:spacing w:after="240"/>
        <w:rPr>
          <w:rFonts w:eastAsia="Arial"/>
          <w:sz w:val="28"/>
          <w:szCs w:val="28"/>
          <w:lang w:bidi="en-CA"/>
        </w:rPr>
      </w:pPr>
      <w:r w:rsidRPr="00471C48">
        <w:rPr>
          <w:rFonts w:eastAsia="Arial"/>
          <w:sz w:val="28"/>
          <w:szCs w:val="28"/>
          <w:lang w:bidi="en-CA"/>
        </w:rPr>
        <w:t>Aucune plainte ne peut être déposée et aucun avis d'infraction ne peut être signifié à l'employeur s'il ne verse pas les augmentations dues au cours des 90 premiers jours suivant la date à laquelle elles sont dues [</w:t>
      </w:r>
      <w:r w:rsidRPr="00A8438E">
        <w:rPr>
          <w:rFonts w:eastAsia="Arial"/>
          <w:sz w:val="28"/>
          <w:szCs w:val="28"/>
          <w:lang w:bidi="en-CA"/>
        </w:rPr>
        <w:t>Loi</w:t>
      </w:r>
      <w:r w:rsidRPr="00471C48">
        <w:rPr>
          <w:rFonts w:eastAsia="Arial"/>
          <w:sz w:val="28"/>
          <w:szCs w:val="28"/>
          <w:lang w:bidi="en-CA"/>
        </w:rPr>
        <w:t xml:space="preserve">, art. 96]. Cela n'empêche toutefois pas les intérêts de </w:t>
      </w:r>
      <w:r w:rsidR="00BA0DBC">
        <w:rPr>
          <w:rFonts w:eastAsia="Arial"/>
          <w:sz w:val="28"/>
          <w:szCs w:val="28"/>
          <w:lang w:bidi="en-CA"/>
        </w:rPr>
        <w:t>s’accumuler</w:t>
      </w:r>
      <w:r w:rsidRPr="00471C48">
        <w:rPr>
          <w:rFonts w:eastAsia="Arial"/>
          <w:sz w:val="28"/>
          <w:szCs w:val="28"/>
          <w:lang w:bidi="en-CA"/>
        </w:rPr>
        <w:t xml:space="preserve"> [</w:t>
      </w:r>
      <w:r w:rsidRPr="00A8438E">
        <w:rPr>
          <w:rFonts w:eastAsia="Arial"/>
          <w:sz w:val="28"/>
          <w:szCs w:val="28"/>
          <w:lang w:bidi="en-CA"/>
        </w:rPr>
        <w:t>Loi</w:t>
      </w:r>
      <w:r w:rsidRPr="00471C48">
        <w:rPr>
          <w:rFonts w:eastAsia="Arial"/>
          <w:sz w:val="28"/>
          <w:szCs w:val="28"/>
          <w:lang w:bidi="en-CA"/>
        </w:rPr>
        <w:t xml:space="preserve">, art. 97(1)]. </w:t>
      </w:r>
    </w:p>
    <w:p w14:paraId="4D542774" w14:textId="568FCF16" w:rsidR="00471C48" w:rsidRPr="00471C48" w:rsidRDefault="00471C48" w:rsidP="00471C48">
      <w:pPr>
        <w:spacing w:after="240"/>
        <w:rPr>
          <w:rFonts w:eastAsia="Arial"/>
          <w:sz w:val="28"/>
          <w:szCs w:val="28"/>
          <w:lang w:bidi="en-CA"/>
        </w:rPr>
      </w:pPr>
      <w:r w:rsidRPr="00471C48">
        <w:rPr>
          <w:rFonts w:eastAsia="Arial"/>
          <w:sz w:val="28"/>
          <w:szCs w:val="28"/>
          <w:lang w:bidi="en-CA"/>
        </w:rPr>
        <w:t>Pour en savoir plus sur les droits et obligations de l'employeur, d</w:t>
      </w:r>
      <w:r w:rsidR="006B750D">
        <w:rPr>
          <w:rFonts w:eastAsia="Arial"/>
          <w:sz w:val="28"/>
          <w:szCs w:val="28"/>
          <w:lang w:bidi="en-CA"/>
        </w:rPr>
        <w:t xml:space="preserve">’un </w:t>
      </w:r>
      <w:r w:rsidRPr="00471C48">
        <w:rPr>
          <w:rFonts w:eastAsia="Arial"/>
          <w:sz w:val="28"/>
          <w:szCs w:val="28"/>
          <w:lang w:bidi="en-CA"/>
        </w:rPr>
        <w:t>agent négociateur et d</w:t>
      </w:r>
      <w:r w:rsidR="006B750D">
        <w:rPr>
          <w:rFonts w:eastAsia="Arial"/>
          <w:sz w:val="28"/>
          <w:szCs w:val="28"/>
          <w:lang w:bidi="en-CA"/>
        </w:rPr>
        <w:t>’un employé</w:t>
      </w:r>
      <w:r w:rsidRPr="00471C48">
        <w:rPr>
          <w:rFonts w:eastAsia="Arial"/>
          <w:sz w:val="28"/>
          <w:szCs w:val="28"/>
          <w:lang w:bidi="en-CA"/>
        </w:rPr>
        <w:t xml:space="preserve">, </w:t>
      </w:r>
      <w:r w:rsidR="006B750D">
        <w:rPr>
          <w:rFonts w:eastAsia="Arial"/>
          <w:sz w:val="28"/>
          <w:szCs w:val="28"/>
          <w:lang w:bidi="en-CA"/>
        </w:rPr>
        <w:t>v</w:t>
      </w:r>
      <w:r w:rsidR="00F66B3A">
        <w:rPr>
          <w:rFonts w:eastAsia="Arial"/>
          <w:sz w:val="28"/>
          <w:szCs w:val="28"/>
          <w:lang w:bidi="en-CA"/>
        </w:rPr>
        <w:t>isitez le</w:t>
      </w:r>
      <w:r w:rsidRPr="00471C48">
        <w:rPr>
          <w:rFonts w:eastAsia="Arial"/>
          <w:sz w:val="28"/>
          <w:szCs w:val="28"/>
          <w:lang w:bidi="en-CA"/>
        </w:rPr>
        <w:t xml:space="preserve"> </w:t>
      </w:r>
      <w:hyperlink r:id="rId12" w:history="1">
        <w:r w:rsidR="00BA0DBC">
          <w:rPr>
            <w:rStyle w:val="Hyperlink"/>
            <w:rFonts w:eastAsia="Arial"/>
            <w:sz w:val="28"/>
            <w:szCs w:val="28"/>
            <w:lang w:bidi="en-CA"/>
          </w:rPr>
          <w:t>site Web du Bureau de la commissaire à l'équité salariale</w:t>
        </w:r>
      </w:hyperlink>
      <w:r w:rsidRPr="00471C48">
        <w:rPr>
          <w:rFonts w:eastAsia="Arial"/>
          <w:sz w:val="28"/>
          <w:szCs w:val="28"/>
          <w:lang w:bidi="en-CA"/>
        </w:rPr>
        <w:t xml:space="preserve">. </w:t>
      </w:r>
    </w:p>
    <w:p w14:paraId="307A6508" w14:textId="083F0700" w:rsidR="00471C48" w:rsidRPr="00471C48" w:rsidRDefault="00471C48" w:rsidP="00471C48">
      <w:pPr>
        <w:rPr>
          <w:rFonts w:eastAsia="Arial"/>
          <w:sz w:val="28"/>
          <w:szCs w:val="28"/>
          <w:lang w:bidi="en-CA"/>
        </w:rPr>
      </w:pPr>
      <w:r w:rsidRPr="00471C48">
        <w:rPr>
          <w:rFonts w:eastAsia="Arial"/>
          <w:sz w:val="28"/>
          <w:szCs w:val="28"/>
          <w:lang w:bidi="en-CA"/>
        </w:rPr>
        <w:t xml:space="preserve">Vous pouvez également contacter le </w:t>
      </w:r>
      <w:r w:rsidR="00BA0DBC">
        <w:rPr>
          <w:rFonts w:eastAsia="Arial"/>
          <w:sz w:val="28"/>
          <w:szCs w:val="28"/>
          <w:lang w:bidi="en-CA"/>
        </w:rPr>
        <w:t xml:space="preserve">Bureau de la commissaire </w:t>
      </w:r>
      <w:r w:rsidRPr="00471C48">
        <w:rPr>
          <w:rFonts w:eastAsia="Arial"/>
          <w:sz w:val="28"/>
          <w:szCs w:val="28"/>
          <w:lang w:bidi="en-CA"/>
        </w:rPr>
        <w:t>à l'équité salariale par téléphone au Centre national d'appels :</w:t>
      </w:r>
    </w:p>
    <w:p w14:paraId="6282C037" w14:textId="77777777" w:rsidR="00471C48" w:rsidRPr="00471C48" w:rsidRDefault="00471C48" w:rsidP="00471C48">
      <w:pPr>
        <w:rPr>
          <w:rFonts w:eastAsia="Arial"/>
          <w:sz w:val="28"/>
          <w:szCs w:val="28"/>
          <w:lang w:bidi="en-CA"/>
        </w:rPr>
      </w:pPr>
      <w:r w:rsidRPr="00471C48">
        <w:rPr>
          <w:rFonts w:eastAsia="Arial"/>
          <w:sz w:val="28"/>
          <w:szCs w:val="28"/>
          <w:lang w:bidi="en-CA"/>
        </w:rPr>
        <w:t xml:space="preserve">Sans frais : 1-888-214-1090 </w:t>
      </w:r>
    </w:p>
    <w:p w14:paraId="4D14F5CA" w14:textId="39655964" w:rsidR="00471C48" w:rsidRPr="00471C48" w:rsidRDefault="00471C48" w:rsidP="00471C48">
      <w:pPr>
        <w:rPr>
          <w:rFonts w:eastAsia="Arial"/>
          <w:sz w:val="28"/>
          <w:szCs w:val="28"/>
          <w:lang w:bidi="en-CA"/>
        </w:rPr>
      </w:pPr>
      <w:r>
        <w:rPr>
          <w:rFonts w:eastAsia="Arial"/>
          <w:sz w:val="28"/>
          <w:szCs w:val="28"/>
          <w:lang w:bidi="en-CA"/>
        </w:rPr>
        <w:t>ATS</w:t>
      </w:r>
      <w:r w:rsidRPr="00471C48">
        <w:rPr>
          <w:rFonts w:eastAsia="Arial"/>
          <w:sz w:val="28"/>
          <w:szCs w:val="28"/>
          <w:lang w:bidi="en-CA"/>
        </w:rPr>
        <w:t xml:space="preserve"> : 1-800-465-7735</w:t>
      </w:r>
    </w:p>
    <w:p w14:paraId="3826313B" w14:textId="77777777" w:rsidR="00471C48" w:rsidRPr="00471C48" w:rsidRDefault="00471C48" w:rsidP="00471C48">
      <w:pPr>
        <w:rPr>
          <w:rFonts w:eastAsia="Arial"/>
          <w:sz w:val="28"/>
          <w:szCs w:val="28"/>
          <w:lang w:bidi="en-CA"/>
        </w:rPr>
      </w:pPr>
      <w:r w:rsidRPr="00471C48">
        <w:rPr>
          <w:rFonts w:eastAsia="Arial"/>
          <w:sz w:val="28"/>
          <w:szCs w:val="28"/>
          <w:lang w:bidi="en-CA"/>
        </w:rPr>
        <w:t xml:space="preserve">Heures d'ouverture : </w:t>
      </w:r>
    </w:p>
    <w:p w14:paraId="7FB2B93E" w14:textId="2C3B7F06" w:rsidR="009C5679" w:rsidRPr="009C5679" w:rsidRDefault="00471C48" w:rsidP="00471C48">
      <w:pPr>
        <w:rPr>
          <w:rFonts w:eastAsia="Arial"/>
          <w:b/>
          <w:bCs/>
          <w:noProof/>
          <w:sz w:val="28"/>
          <w:szCs w:val="28"/>
        </w:rPr>
      </w:pPr>
      <w:r w:rsidRPr="00471C48">
        <w:rPr>
          <w:rFonts w:eastAsia="Arial"/>
          <w:sz w:val="28"/>
          <w:szCs w:val="28"/>
          <w:lang w:bidi="en-CA"/>
        </w:rPr>
        <w:t>Du lundi au vendredi, de 8 h à 20 h (heure de l'Est)</w:t>
      </w:r>
    </w:p>
    <w:sectPr w:rsidR="009C5679" w:rsidRPr="009C5679" w:rsidSect="00E215A9">
      <w:type w:val="continuous"/>
      <w:pgSz w:w="15840" w:h="12240" w:orient="landscape" w:code="1"/>
      <w:pgMar w:top="1588" w:right="1701" w:bottom="1588" w:left="1440" w:header="284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96D44" w14:textId="77777777" w:rsidR="001C64BE" w:rsidRPr="006500F2" w:rsidRDefault="001C64BE" w:rsidP="00E37822">
      <w:r w:rsidRPr="006500F2">
        <w:separator/>
      </w:r>
    </w:p>
  </w:endnote>
  <w:endnote w:type="continuationSeparator" w:id="0">
    <w:p w14:paraId="0E520EE4" w14:textId="77777777" w:rsidR="001C64BE" w:rsidRPr="006500F2" w:rsidRDefault="001C64BE" w:rsidP="00E37822">
      <w:r w:rsidRPr="006500F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24B5F" w14:textId="77777777" w:rsidR="00B02332" w:rsidRPr="006500F2" w:rsidRDefault="0027426B" w:rsidP="00023EBC">
    <w:pPr>
      <w:pStyle w:val="Footer"/>
      <w:jc w:val="center"/>
      <w:rPr>
        <w:sz w:val="16"/>
      </w:rPr>
    </w:pPr>
    <w:r w:rsidRPr="006500F2">
      <w:rPr>
        <w:sz w:val="16"/>
      </w:rPr>
      <w:tab/>
    </w:r>
    <w:r w:rsidRPr="006500F2">
      <w:rPr>
        <w:sz w:val="16"/>
      </w:rPr>
      <w:tab/>
    </w:r>
  </w:p>
  <w:p w14:paraId="5D32580C" w14:textId="77777777" w:rsidR="00B02332" w:rsidRPr="006500F2" w:rsidRDefault="00B02332" w:rsidP="00023EBC">
    <w:pPr>
      <w:pStyle w:val="Footer"/>
      <w:jc w:val="center"/>
      <w:rPr>
        <w:sz w:val="16"/>
      </w:rPr>
    </w:pPr>
  </w:p>
  <w:p w14:paraId="6F68AAB5" w14:textId="77777777" w:rsidR="00B02332" w:rsidRPr="00AA4324" w:rsidRDefault="0027426B" w:rsidP="00023EBC">
    <w:pPr>
      <w:pStyle w:val="Footer"/>
      <w:jc w:val="center"/>
      <w:rPr>
        <w:sz w:val="16"/>
        <w:lang w:val="en-US"/>
      </w:rPr>
    </w:pPr>
    <w:r w:rsidRPr="00AA4324">
      <w:rPr>
        <w:sz w:val="16"/>
        <w:lang w:val="en-US"/>
      </w:rPr>
      <w:t xml:space="preserve">344 Slater Street, Ottawa, </w:t>
    </w:r>
    <w:proofErr w:type="gramStart"/>
    <w:r w:rsidRPr="00AA4324">
      <w:rPr>
        <w:sz w:val="16"/>
        <w:lang w:val="en-US"/>
      </w:rPr>
      <w:t>Ontario  K</w:t>
    </w:r>
    <w:proofErr w:type="gramEnd"/>
    <w:r w:rsidRPr="00AA4324">
      <w:rPr>
        <w:sz w:val="16"/>
        <w:lang w:val="en-US"/>
      </w:rPr>
      <w:t>1A 1E1</w:t>
    </w:r>
  </w:p>
  <w:p w14:paraId="1D69E69B" w14:textId="77777777" w:rsidR="00B02332" w:rsidRPr="00AA4324" w:rsidRDefault="0027426B" w:rsidP="00023EBC">
    <w:pPr>
      <w:pStyle w:val="Footer"/>
      <w:jc w:val="center"/>
      <w:rPr>
        <w:sz w:val="16"/>
        <w:lang w:val="en-US"/>
      </w:rPr>
    </w:pPr>
    <w:r w:rsidRPr="00AA4324">
      <w:rPr>
        <w:sz w:val="16"/>
        <w:lang w:val="en-US"/>
      </w:rPr>
      <w:t>344, rue Slater, Ottawa (</w:t>
    </w:r>
    <w:proofErr w:type="gramStart"/>
    <w:r w:rsidRPr="00AA4324">
      <w:rPr>
        <w:sz w:val="16"/>
        <w:lang w:val="en-US"/>
      </w:rPr>
      <w:t>Ontario)  K</w:t>
    </w:r>
    <w:proofErr w:type="gramEnd"/>
    <w:r w:rsidRPr="00AA4324">
      <w:rPr>
        <w:sz w:val="16"/>
        <w:lang w:val="en-US"/>
      </w:rPr>
      <w:t>1A 1E1</w:t>
    </w:r>
  </w:p>
  <w:p w14:paraId="02C07DBD" w14:textId="77777777" w:rsidR="00B02332" w:rsidRPr="006500F2" w:rsidRDefault="0027426B" w:rsidP="00023EBC">
    <w:pPr>
      <w:pStyle w:val="Footer"/>
      <w:jc w:val="center"/>
      <w:rPr>
        <w:sz w:val="16"/>
      </w:rPr>
    </w:pPr>
    <w:proofErr w:type="spellStart"/>
    <w:r w:rsidRPr="006500F2">
      <w:rPr>
        <w:sz w:val="16"/>
      </w:rPr>
      <w:t>Toll</w:t>
    </w:r>
    <w:proofErr w:type="spellEnd"/>
    <w:r w:rsidRPr="006500F2">
      <w:rPr>
        <w:sz w:val="16"/>
      </w:rPr>
      <w:t>-free/Sans frais 1-888-214-1090, TTY/ATS 1-888-643-3304, Fax/Téléc. 613 996-9661</w:t>
    </w:r>
  </w:p>
  <w:p w14:paraId="2DA45C55" w14:textId="77777777" w:rsidR="00B02332" w:rsidRPr="006500F2" w:rsidRDefault="0027426B" w:rsidP="00023EBC">
    <w:pPr>
      <w:pStyle w:val="Footer"/>
      <w:jc w:val="center"/>
    </w:pPr>
    <w:r w:rsidRPr="006500F2">
      <w:rPr>
        <w:sz w:val="16"/>
      </w:rPr>
      <w:t>www.chrc-ccdp.gc.ca</w:t>
    </w:r>
  </w:p>
  <w:p w14:paraId="1576E3DA" w14:textId="77777777" w:rsidR="00B02332" w:rsidRPr="006500F2" w:rsidRDefault="00B02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921768"/>
      <w:docPartObj>
        <w:docPartGallery w:val="Page Numbers (Bottom of Page)"/>
        <w:docPartUnique/>
      </w:docPartObj>
    </w:sdtPr>
    <w:sdtEndPr/>
    <w:sdtContent>
      <w:p w14:paraId="6CBA3A41" w14:textId="7990E6A8" w:rsidR="00F6529B" w:rsidRPr="006500F2" w:rsidRDefault="00F6529B">
        <w:pPr>
          <w:pStyle w:val="Footer"/>
          <w:jc w:val="right"/>
        </w:pPr>
        <w:r w:rsidRPr="006500F2">
          <w:fldChar w:fldCharType="begin"/>
        </w:r>
        <w:r w:rsidRPr="006500F2">
          <w:instrText xml:space="preserve"> PAGE   \* MERGEFORMAT </w:instrText>
        </w:r>
        <w:r w:rsidRPr="006500F2">
          <w:fldChar w:fldCharType="separate"/>
        </w:r>
        <w:r w:rsidR="0051683F" w:rsidRPr="006500F2">
          <w:t>5</w:t>
        </w:r>
        <w:r w:rsidRPr="006500F2">
          <w:fldChar w:fldCharType="end"/>
        </w:r>
      </w:p>
    </w:sdtContent>
  </w:sdt>
  <w:p w14:paraId="08E7F217" w14:textId="77777777" w:rsidR="00E37822" w:rsidRPr="006500F2" w:rsidRDefault="00E378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E2CD3" w14:textId="77777777" w:rsidR="00B02332" w:rsidRPr="006500F2" w:rsidRDefault="00B02332">
    <w:pPr>
      <w:pStyle w:val="Footer"/>
      <w:rPr>
        <w:sz w:val="16"/>
      </w:rPr>
    </w:pPr>
  </w:p>
  <w:p w14:paraId="2F5A8C05" w14:textId="77777777" w:rsidR="00B02332" w:rsidRPr="006500F2" w:rsidRDefault="00B02332" w:rsidP="00B9764A"/>
  <w:p w14:paraId="3FBA6EEA" w14:textId="77777777" w:rsidR="00B02332" w:rsidRPr="00AA4324" w:rsidRDefault="0027426B" w:rsidP="00B9764A">
    <w:pPr>
      <w:pStyle w:val="Footer"/>
      <w:jc w:val="center"/>
      <w:rPr>
        <w:sz w:val="16"/>
        <w:lang w:val="en-US"/>
      </w:rPr>
    </w:pPr>
    <w:r w:rsidRPr="00AA4324">
      <w:rPr>
        <w:sz w:val="16"/>
        <w:lang w:val="en-US"/>
      </w:rPr>
      <w:t xml:space="preserve">344 Slater Street, Ottawa, </w:t>
    </w:r>
    <w:proofErr w:type="gramStart"/>
    <w:r w:rsidRPr="00AA4324">
      <w:rPr>
        <w:sz w:val="16"/>
        <w:lang w:val="en-US"/>
      </w:rPr>
      <w:t>Ontario  K</w:t>
    </w:r>
    <w:proofErr w:type="gramEnd"/>
    <w:r w:rsidRPr="00AA4324">
      <w:rPr>
        <w:sz w:val="16"/>
        <w:lang w:val="en-US"/>
      </w:rPr>
      <w:t>1A 1E1</w:t>
    </w:r>
  </w:p>
  <w:p w14:paraId="6E3DCB57" w14:textId="77777777" w:rsidR="00B02332" w:rsidRPr="00AA4324" w:rsidRDefault="0027426B" w:rsidP="00B9764A">
    <w:pPr>
      <w:pStyle w:val="Footer"/>
      <w:jc w:val="center"/>
      <w:rPr>
        <w:sz w:val="16"/>
        <w:lang w:val="en-US"/>
      </w:rPr>
    </w:pPr>
    <w:r w:rsidRPr="00AA4324">
      <w:rPr>
        <w:sz w:val="16"/>
        <w:lang w:val="en-US"/>
      </w:rPr>
      <w:t>344, rue Slater, Ottawa (</w:t>
    </w:r>
    <w:proofErr w:type="gramStart"/>
    <w:r w:rsidRPr="00AA4324">
      <w:rPr>
        <w:sz w:val="16"/>
        <w:lang w:val="en-US"/>
      </w:rPr>
      <w:t>Ontario)  K</w:t>
    </w:r>
    <w:proofErr w:type="gramEnd"/>
    <w:r w:rsidRPr="00AA4324">
      <w:rPr>
        <w:sz w:val="16"/>
        <w:lang w:val="en-US"/>
      </w:rPr>
      <w:t>1A 1E1</w:t>
    </w:r>
  </w:p>
  <w:p w14:paraId="53AEBB9F" w14:textId="77777777" w:rsidR="00B02332" w:rsidRPr="00A8438E" w:rsidRDefault="0027426B" w:rsidP="00B9764A">
    <w:pPr>
      <w:pStyle w:val="Footer"/>
      <w:jc w:val="center"/>
      <w:rPr>
        <w:sz w:val="16"/>
        <w:lang w:val="en-US"/>
      </w:rPr>
    </w:pPr>
    <w:r w:rsidRPr="00A8438E">
      <w:rPr>
        <w:sz w:val="16"/>
        <w:lang w:val="en-US"/>
      </w:rPr>
      <w:t>Toll-free/Sans frais 1-888-214-1090, TTY/ATS 1-888-643-3304</w:t>
    </w:r>
  </w:p>
  <w:p w14:paraId="716095B4" w14:textId="77777777" w:rsidR="00B02332" w:rsidRPr="006500F2" w:rsidRDefault="0027426B" w:rsidP="00B9764A">
    <w:pPr>
      <w:pStyle w:val="Footer"/>
      <w:jc w:val="center"/>
    </w:pPr>
    <w:r w:rsidRPr="006500F2">
      <w:rPr>
        <w:sz w:val="16"/>
      </w:rPr>
      <w:t>www.chrc-ccdp.gc.ca</w:t>
    </w:r>
  </w:p>
  <w:p w14:paraId="215C1D84" w14:textId="77777777" w:rsidR="00B02332" w:rsidRPr="006500F2" w:rsidRDefault="00B02332" w:rsidP="00FD7E9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20A5E" w14:textId="77777777" w:rsidR="001C64BE" w:rsidRPr="006500F2" w:rsidRDefault="001C64BE" w:rsidP="00E37822">
      <w:r w:rsidRPr="006500F2">
        <w:separator/>
      </w:r>
    </w:p>
  </w:footnote>
  <w:footnote w:type="continuationSeparator" w:id="0">
    <w:p w14:paraId="31023194" w14:textId="77777777" w:rsidR="001C64BE" w:rsidRPr="006500F2" w:rsidRDefault="001C64BE" w:rsidP="00E37822">
      <w:r w:rsidRPr="006500F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3A0FB" w14:textId="77777777" w:rsidR="00B02332" w:rsidRPr="006500F2" w:rsidRDefault="0027426B">
    <w:pPr>
      <w:pStyle w:val="Header"/>
      <w:jc w:val="center"/>
    </w:pPr>
    <w:r w:rsidRPr="006500F2">
      <w:t>2</w:t>
    </w:r>
  </w:p>
  <w:p w14:paraId="18D3B778" w14:textId="77777777" w:rsidR="00B02332" w:rsidRPr="006500F2" w:rsidRDefault="00B02332" w:rsidP="00A735C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7322E" w14:textId="77777777" w:rsidR="00B02332" w:rsidRPr="006500F2" w:rsidRDefault="0027426B" w:rsidP="00023EBC">
    <w:pPr>
      <w:pStyle w:val="ResolutionsServices-English"/>
    </w:pPr>
    <w:r w:rsidRPr="006500F2"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5A358C42" wp14:editId="10AE66BB">
          <wp:simplePos x="0" y="0"/>
          <wp:positionH relativeFrom="margin">
            <wp:align>left</wp:align>
          </wp:positionH>
          <wp:positionV relativeFrom="paragraph">
            <wp:posOffset>-180340</wp:posOffset>
          </wp:positionV>
          <wp:extent cx="2487295" cy="1314450"/>
          <wp:effectExtent l="0" t="0" r="8255" b="0"/>
          <wp:wrapThrough wrapText="bothSides">
            <wp:wrapPolygon edited="0">
              <wp:start x="3970" y="4070"/>
              <wp:lineTo x="165" y="9704"/>
              <wp:lineTo x="165" y="11896"/>
              <wp:lineTo x="993" y="14713"/>
              <wp:lineTo x="1654" y="14713"/>
              <wp:lineTo x="1820" y="17217"/>
              <wp:lineTo x="2647" y="17217"/>
              <wp:lineTo x="4963" y="15965"/>
              <wp:lineTo x="4798" y="14713"/>
              <wp:lineTo x="20679" y="13774"/>
              <wp:lineTo x="21506" y="10643"/>
              <wp:lineTo x="20183" y="8765"/>
              <wp:lineTo x="16212" y="7513"/>
              <wp:lineTo x="4798" y="4070"/>
              <wp:lineTo x="3970" y="4070"/>
            </wp:wrapPolygon>
          </wp:wrapThrough>
          <wp:docPr id="12" name="Imag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7CC8DB" w14:textId="77777777" w:rsidR="00B02332" w:rsidRPr="006500F2" w:rsidRDefault="00B02332" w:rsidP="005A651D">
    <w:pPr>
      <w:pStyle w:val="Header"/>
    </w:pPr>
    <w:bookmarkStart w:id="2" w:name="OLE_LINK1"/>
    <w:bookmarkEnd w:id="2"/>
  </w:p>
  <w:tbl>
    <w:tblPr>
      <w:tblW w:w="0" w:type="auto"/>
      <w:tblInd w:w="959" w:type="dxa"/>
      <w:tblLayout w:type="fixed"/>
      <w:tblLook w:val="04A0" w:firstRow="1" w:lastRow="0" w:firstColumn="1" w:lastColumn="0" w:noHBand="0" w:noVBand="1"/>
    </w:tblPr>
    <w:tblGrid>
      <w:gridCol w:w="1843"/>
      <w:gridCol w:w="2924"/>
    </w:tblGrid>
    <w:tr w:rsidR="005A651D" w:rsidRPr="006500F2" w14:paraId="746A68BB" w14:textId="77777777" w:rsidTr="000B734A">
      <w:trPr>
        <w:trHeight w:val="91"/>
      </w:trPr>
      <w:tc>
        <w:tcPr>
          <w:tcW w:w="1843" w:type="dxa"/>
        </w:tcPr>
        <w:p w14:paraId="77325199" w14:textId="77777777" w:rsidR="00B02332" w:rsidRPr="006500F2" w:rsidRDefault="00B02332" w:rsidP="000B734A">
          <w:pPr>
            <w:pStyle w:val="Header"/>
            <w:tabs>
              <w:tab w:val="left" w:pos="3436"/>
            </w:tabs>
            <w:ind w:left="34" w:right="175"/>
            <w:rPr>
              <w:sz w:val="14"/>
              <w:szCs w:val="14"/>
            </w:rPr>
          </w:pPr>
        </w:p>
      </w:tc>
      <w:tc>
        <w:tcPr>
          <w:tcW w:w="2924" w:type="dxa"/>
          <w:tcBorders>
            <w:left w:val="nil"/>
          </w:tcBorders>
        </w:tcPr>
        <w:p w14:paraId="607144D4" w14:textId="77777777" w:rsidR="00B02332" w:rsidRPr="006500F2" w:rsidRDefault="00B02332" w:rsidP="000B734A">
          <w:pPr>
            <w:pStyle w:val="Header"/>
            <w:rPr>
              <w:rFonts w:ascii="Verdana" w:hAnsi="Verdana"/>
              <w:sz w:val="14"/>
              <w:szCs w:val="14"/>
            </w:rPr>
          </w:pPr>
        </w:p>
      </w:tc>
    </w:tr>
  </w:tbl>
  <w:p w14:paraId="3140C778" w14:textId="77777777" w:rsidR="00B02332" w:rsidRPr="006500F2" w:rsidRDefault="00B023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3112B"/>
    <w:multiLevelType w:val="hybridMultilevel"/>
    <w:tmpl w:val="31FE48D0"/>
    <w:lvl w:ilvl="0" w:tplc="A9F466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783C"/>
    <w:multiLevelType w:val="hybridMultilevel"/>
    <w:tmpl w:val="BFD8656C"/>
    <w:lvl w:ilvl="0" w:tplc="12B4D0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63A02"/>
    <w:multiLevelType w:val="hybridMultilevel"/>
    <w:tmpl w:val="52F62D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965B1"/>
    <w:multiLevelType w:val="multilevel"/>
    <w:tmpl w:val="6FCC839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7F66184"/>
    <w:multiLevelType w:val="multilevel"/>
    <w:tmpl w:val="87F4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F1246"/>
    <w:multiLevelType w:val="hybridMultilevel"/>
    <w:tmpl w:val="818E8DE4"/>
    <w:lvl w:ilvl="0" w:tplc="E0D28A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65391"/>
    <w:multiLevelType w:val="hybridMultilevel"/>
    <w:tmpl w:val="B21080BA"/>
    <w:lvl w:ilvl="0" w:tplc="12B4D0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E2829"/>
    <w:multiLevelType w:val="hybridMultilevel"/>
    <w:tmpl w:val="DD5A48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236C1"/>
    <w:multiLevelType w:val="hybridMultilevel"/>
    <w:tmpl w:val="971CAB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E2B91"/>
    <w:multiLevelType w:val="multilevel"/>
    <w:tmpl w:val="A0602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8BF3E4E"/>
    <w:multiLevelType w:val="hybridMultilevel"/>
    <w:tmpl w:val="649AEABC"/>
    <w:lvl w:ilvl="0" w:tplc="DCB6E70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C5B83"/>
    <w:multiLevelType w:val="multilevel"/>
    <w:tmpl w:val="2A28B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A2C31AA"/>
    <w:multiLevelType w:val="hybridMultilevel"/>
    <w:tmpl w:val="60F07630"/>
    <w:lvl w:ilvl="0" w:tplc="159088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C1163"/>
    <w:multiLevelType w:val="hybridMultilevel"/>
    <w:tmpl w:val="80862172"/>
    <w:lvl w:ilvl="0" w:tplc="8AAA3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2D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AF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5E0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01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BED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22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4C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BA6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C377D"/>
    <w:multiLevelType w:val="multilevel"/>
    <w:tmpl w:val="5AAC0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5" w15:restartNumberingAfterBreak="0">
    <w:nsid w:val="635F7FEB"/>
    <w:multiLevelType w:val="multilevel"/>
    <w:tmpl w:val="81C0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352411"/>
    <w:multiLevelType w:val="hybridMultilevel"/>
    <w:tmpl w:val="4B94C688"/>
    <w:lvl w:ilvl="0" w:tplc="D3FE6D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705874">
    <w:abstractNumId w:val="13"/>
  </w:num>
  <w:num w:numId="2" w16cid:durableId="718746214">
    <w:abstractNumId w:val="7"/>
  </w:num>
  <w:num w:numId="3" w16cid:durableId="274866141">
    <w:abstractNumId w:val="2"/>
  </w:num>
  <w:num w:numId="4" w16cid:durableId="1128621258">
    <w:abstractNumId w:val="12"/>
  </w:num>
  <w:num w:numId="5" w16cid:durableId="764955753">
    <w:abstractNumId w:val="15"/>
  </w:num>
  <w:num w:numId="6" w16cid:durableId="146285947">
    <w:abstractNumId w:val="16"/>
  </w:num>
  <w:num w:numId="7" w16cid:durableId="929003798">
    <w:abstractNumId w:val="11"/>
  </w:num>
  <w:num w:numId="8" w16cid:durableId="1219437575">
    <w:abstractNumId w:val="9"/>
  </w:num>
  <w:num w:numId="9" w16cid:durableId="1084573774">
    <w:abstractNumId w:val="3"/>
  </w:num>
  <w:num w:numId="10" w16cid:durableId="1715081322">
    <w:abstractNumId w:val="10"/>
  </w:num>
  <w:num w:numId="11" w16cid:durableId="123936298">
    <w:abstractNumId w:val="14"/>
  </w:num>
  <w:num w:numId="12" w16cid:durableId="28185737">
    <w:abstractNumId w:val="6"/>
  </w:num>
  <w:num w:numId="13" w16cid:durableId="1682927568">
    <w:abstractNumId w:val="1"/>
  </w:num>
  <w:num w:numId="14" w16cid:durableId="1392383532">
    <w:abstractNumId w:val="4"/>
  </w:num>
  <w:num w:numId="15" w16cid:durableId="1589734615">
    <w:abstractNumId w:val="0"/>
  </w:num>
  <w:num w:numId="16" w16cid:durableId="590700690">
    <w:abstractNumId w:val="5"/>
  </w:num>
  <w:num w:numId="17" w16cid:durableId="12690043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22"/>
    <w:rsid w:val="00006115"/>
    <w:rsid w:val="000200B0"/>
    <w:rsid w:val="00040FC9"/>
    <w:rsid w:val="00045774"/>
    <w:rsid w:val="00050CB8"/>
    <w:rsid w:val="00053B5F"/>
    <w:rsid w:val="0006700D"/>
    <w:rsid w:val="00077520"/>
    <w:rsid w:val="00080A88"/>
    <w:rsid w:val="000A738D"/>
    <w:rsid w:val="000B01AA"/>
    <w:rsid w:val="000D19DE"/>
    <w:rsid w:val="000D2F98"/>
    <w:rsid w:val="000D4A9F"/>
    <w:rsid w:val="000E1866"/>
    <w:rsid w:val="000E1C12"/>
    <w:rsid w:val="000E29B6"/>
    <w:rsid w:val="000E3B82"/>
    <w:rsid w:val="000E7C81"/>
    <w:rsid w:val="000F29B7"/>
    <w:rsid w:val="000F4D44"/>
    <w:rsid w:val="000F6A5B"/>
    <w:rsid w:val="000F78D5"/>
    <w:rsid w:val="00114EC3"/>
    <w:rsid w:val="00123E79"/>
    <w:rsid w:val="001335A9"/>
    <w:rsid w:val="00146D24"/>
    <w:rsid w:val="0015074E"/>
    <w:rsid w:val="0015513C"/>
    <w:rsid w:val="001555CC"/>
    <w:rsid w:val="00156CA8"/>
    <w:rsid w:val="00166CE8"/>
    <w:rsid w:val="001676D3"/>
    <w:rsid w:val="00176594"/>
    <w:rsid w:val="001916F2"/>
    <w:rsid w:val="001C64BE"/>
    <w:rsid w:val="001D474B"/>
    <w:rsid w:val="001E3F31"/>
    <w:rsid w:val="00200EBE"/>
    <w:rsid w:val="00220C37"/>
    <w:rsid w:val="00223BD8"/>
    <w:rsid w:val="00236B90"/>
    <w:rsid w:val="00261A3E"/>
    <w:rsid w:val="002645CE"/>
    <w:rsid w:val="002646A8"/>
    <w:rsid w:val="0027026C"/>
    <w:rsid w:val="0027426B"/>
    <w:rsid w:val="0027624B"/>
    <w:rsid w:val="002B34D9"/>
    <w:rsid w:val="002B683F"/>
    <w:rsid w:val="002C281A"/>
    <w:rsid w:val="002C3E9F"/>
    <w:rsid w:val="002E400C"/>
    <w:rsid w:val="003019B9"/>
    <w:rsid w:val="0031017A"/>
    <w:rsid w:val="003324D3"/>
    <w:rsid w:val="00332860"/>
    <w:rsid w:val="003437B3"/>
    <w:rsid w:val="0036073D"/>
    <w:rsid w:val="00360D93"/>
    <w:rsid w:val="00364B39"/>
    <w:rsid w:val="003666EC"/>
    <w:rsid w:val="00372014"/>
    <w:rsid w:val="00375CCE"/>
    <w:rsid w:val="00375E35"/>
    <w:rsid w:val="0038123C"/>
    <w:rsid w:val="003A15C1"/>
    <w:rsid w:val="003A44A0"/>
    <w:rsid w:val="003B0197"/>
    <w:rsid w:val="003B08ED"/>
    <w:rsid w:val="003E4083"/>
    <w:rsid w:val="003F2672"/>
    <w:rsid w:val="003F7FDF"/>
    <w:rsid w:val="00411461"/>
    <w:rsid w:val="00421B0B"/>
    <w:rsid w:val="00436955"/>
    <w:rsid w:val="00462F55"/>
    <w:rsid w:val="00464A62"/>
    <w:rsid w:val="00465825"/>
    <w:rsid w:val="00471C48"/>
    <w:rsid w:val="004735EA"/>
    <w:rsid w:val="00482B39"/>
    <w:rsid w:val="004853E2"/>
    <w:rsid w:val="00490BE7"/>
    <w:rsid w:val="004D4D08"/>
    <w:rsid w:val="004E44EA"/>
    <w:rsid w:val="004E5410"/>
    <w:rsid w:val="004E6CD2"/>
    <w:rsid w:val="005007A7"/>
    <w:rsid w:val="005053E5"/>
    <w:rsid w:val="0051683F"/>
    <w:rsid w:val="00521885"/>
    <w:rsid w:val="005359FE"/>
    <w:rsid w:val="005409F4"/>
    <w:rsid w:val="00565B32"/>
    <w:rsid w:val="00570C0C"/>
    <w:rsid w:val="0057163B"/>
    <w:rsid w:val="0058390C"/>
    <w:rsid w:val="0058492A"/>
    <w:rsid w:val="005A7797"/>
    <w:rsid w:val="005B62BF"/>
    <w:rsid w:val="005C721C"/>
    <w:rsid w:val="005F4492"/>
    <w:rsid w:val="005F7838"/>
    <w:rsid w:val="00600EF2"/>
    <w:rsid w:val="00602BEA"/>
    <w:rsid w:val="006217DB"/>
    <w:rsid w:val="00626008"/>
    <w:rsid w:val="00633E1E"/>
    <w:rsid w:val="00645673"/>
    <w:rsid w:val="006500F2"/>
    <w:rsid w:val="006578C6"/>
    <w:rsid w:val="00661279"/>
    <w:rsid w:val="00662520"/>
    <w:rsid w:val="0067067C"/>
    <w:rsid w:val="006A2897"/>
    <w:rsid w:val="006B00AC"/>
    <w:rsid w:val="006B750D"/>
    <w:rsid w:val="006C442A"/>
    <w:rsid w:val="006C6927"/>
    <w:rsid w:val="006C7E47"/>
    <w:rsid w:val="006E428C"/>
    <w:rsid w:val="006E78D6"/>
    <w:rsid w:val="006F1240"/>
    <w:rsid w:val="006F3A42"/>
    <w:rsid w:val="007025BE"/>
    <w:rsid w:val="007025E7"/>
    <w:rsid w:val="00703753"/>
    <w:rsid w:val="00710E45"/>
    <w:rsid w:val="00745779"/>
    <w:rsid w:val="00765972"/>
    <w:rsid w:val="0076750C"/>
    <w:rsid w:val="007A0EAC"/>
    <w:rsid w:val="007A16A9"/>
    <w:rsid w:val="007A19A0"/>
    <w:rsid w:val="007A2FBC"/>
    <w:rsid w:val="007A602D"/>
    <w:rsid w:val="007B3572"/>
    <w:rsid w:val="007B3819"/>
    <w:rsid w:val="007B514B"/>
    <w:rsid w:val="007B6B2D"/>
    <w:rsid w:val="007C6546"/>
    <w:rsid w:val="007D099F"/>
    <w:rsid w:val="007D3532"/>
    <w:rsid w:val="007D7F3A"/>
    <w:rsid w:val="007E16CD"/>
    <w:rsid w:val="008248A0"/>
    <w:rsid w:val="00863831"/>
    <w:rsid w:val="0087484A"/>
    <w:rsid w:val="00894616"/>
    <w:rsid w:val="00896B66"/>
    <w:rsid w:val="00897AF8"/>
    <w:rsid w:val="008B318F"/>
    <w:rsid w:val="008B4519"/>
    <w:rsid w:val="008B4E58"/>
    <w:rsid w:val="008B692A"/>
    <w:rsid w:val="008B78A5"/>
    <w:rsid w:val="008B7D0A"/>
    <w:rsid w:val="008C3877"/>
    <w:rsid w:val="008D1FE8"/>
    <w:rsid w:val="008E3FA7"/>
    <w:rsid w:val="008F1176"/>
    <w:rsid w:val="00922E0E"/>
    <w:rsid w:val="009243D7"/>
    <w:rsid w:val="00927575"/>
    <w:rsid w:val="00943404"/>
    <w:rsid w:val="00953EAC"/>
    <w:rsid w:val="009635F5"/>
    <w:rsid w:val="00970F06"/>
    <w:rsid w:val="00974E84"/>
    <w:rsid w:val="00975F9C"/>
    <w:rsid w:val="00977950"/>
    <w:rsid w:val="00987A8A"/>
    <w:rsid w:val="009928B2"/>
    <w:rsid w:val="00992E33"/>
    <w:rsid w:val="009A4334"/>
    <w:rsid w:val="009B01CE"/>
    <w:rsid w:val="009B3130"/>
    <w:rsid w:val="009B7422"/>
    <w:rsid w:val="009C5679"/>
    <w:rsid w:val="009C6747"/>
    <w:rsid w:val="009D2266"/>
    <w:rsid w:val="009D28E9"/>
    <w:rsid w:val="009D3E1A"/>
    <w:rsid w:val="009D6E6A"/>
    <w:rsid w:val="009F07AF"/>
    <w:rsid w:val="00A00E49"/>
    <w:rsid w:val="00A37088"/>
    <w:rsid w:val="00A62692"/>
    <w:rsid w:val="00A66B41"/>
    <w:rsid w:val="00A66CA9"/>
    <w:rsid w:val="00A77142"/>
    <w:rsid w:val="00A7798D"/>
    <w:rsid w:val="00A8438E"/>
    <w:rsid w:val="00A92D60"/>
    <w:rsid w:val="00A957F3"/>
    <w:rsid w:val="00A973F2"/>
    <w:rsid w:val="00AA4324"/>
    <w:rsid w:val="00AA6C81"/>
    <w:rsid w:val="00AB5BBA"/>
    <w:rsid w:val="00AC5E7F"/>
    <w:rsid w:val="00AE15F1"/>
    <w:rsid w:val="00B02332"/>
    <w:rsid w:val="00B04C04"/>
    <w:rsid w:val="00B07F47"/>
    <w:rsid w:val="00B2006A"/>
    <w:rsid w:val="00B21994"/>
    <w:rsid w:val="00B22C45"/>
    <w:rsid w:val="00B24B10"/>
    <w:rsid w:val="00B351E5"/>
    <w:rsid w:val="00B369A2"/>
    <w:rsid w:val="00B375EF"/>
    <w:rsid w:val="00B4630B"/>
    <w:rsid w:val="00B47C81"/>
    <w:rsid w:val="00B51624"/>
    <w:rsid w:val="00B649DF"/>
    <w:rsid w:val="00B77D43"/>
    <w:rsid w:val="00B81508"/>
    <w:rsid w:val="00BA0DBC"/>
    <w:rsid w:val="00BA7E7C"/>
    <w:rsid w:val="00BB1AF4"/>
    <w:rsid w:val="00BB3680"/>
    <w:rsid w:val="00BB6854"/>
    <w:rsid w:val="00BC34C0"/>
    <w:rsid w:val="00BC7374"/>
    <w:rsid w:val="00BC749E"/>
    <w:rsid w:val="00BD0C5C"/>
    <w:rsid w:val="00BE4C0A"/>
    <w:rsid w:val="00BE75CB"/>
    <w:rsid w:val="00BF5B88"/>
    <w:rsid w:val="00BF64A3"/>
    <w:rsid w:val="00C211FF"/>
    <w:rsid w:val="00C363F8"/>
    <w:rsid w:val="00C36954"/>
    <w:rsid w:val="00C40614"/>
    <w:rsid w:val="00C63653"/>
    <w:rsid w:val="00C8658D"/>
    <w:rsid w:val="00C87249"/>
    <w:rsid w:val="00C907DD"/>
    <w:rsid w:val="00C91179"/>
    <w:rsid w:val="00C943CD"/>
    <w:rsid w:val="00CA775A"/>
    <w:rsid w:val="00CB19CC"/>
    <w:rsid w:val="00CB3C59"/>
    <w:rsid w:val="00CC053E"/>
    <w:rsid w:val="00CC1DD4"/>
    <w:rsid w:val="00D05115"/>
    <w:rsid w:val="00D27389"/>
    <w:rsid w:val="00D3517B"/>
    <w:rsid w:val="00D36C5D"/>
    <w:rsid w:val="00D44DC9"/>
    <w:rsid w:val="00D47EEB"/>
    <w:rsid w:val="00D6030E"/>
    <w:rsid w:val="00D628DC"/>
    <w:rsid w:val="00D6319D"/>
    <w:rsid w:val="00D631D2"/>
    <w:rsid w:val="00D74730"/>
    <w:rsid w:val="00D773E6"/>
    <w:rsid w:val="00D7798C"/>
    <w:rsid w:val="00D8657C"/>
    <w:rsid w:val="00D9669B"/>
    <w:rsid w:val="00DA30CC"/>
    <w:rsid w:val="00DA62AE"/>
    <w:rsid w:val="00DB7B03"/>
    <w:rsid w:val="00DC79EC"/>
    <w:rsid w:val="00DD073F"/>
    <w:rsid w:val="00DF1143"/>
    <w:rsid w:val="00E037C1"/>
    <w:rsid w:val="00E05DB9"/>
    <w:rsid w:val="00E06960"/>
    <w:rsid w:val="00E07665"/>
    <w:rsid w:val="00E178EB"/>
    <w:rsid w:val="00E215A9"/>
    <w:rsid w:val="00E32FE8"/>
    <w:rsid w:val="00E3430B"/>
    <w:rsid w:val="00E37822"/>
    <w:rsid w:val="00E43A86"/>
    <w:rsid w:val="00E46162"/>
    <w:rsid w:val="00E540DF"/>
    <w:rsid w:val="00E5543C"/>
    <w:rsid w:val="00E610F5"/>
    <w:rsid w:val="00E641D0"/>
    <w:rsid w:val="00E6635F"/>
    <w:rsid w:val="00E6685C"/>
    <w:rsid w:val="00E81DF0"/>
    <w:rsid w:val="00E82068"/>
    <w:rsid w:val="00E86CAF"/>
    <w:rsid w:val="00E95B17"/>
    <w:rsid w:val="00EB2447"/>
    <w:rsid w:val="00EC0443"/>
    <w:rsid w:val="00EC0B52"/>
    <w:rsid w:val="00ED2298"/>
    <w:rsid w:val="00EE7C65"/>
    <w:rsid w:val="00F05773"/>
    <w:rsid w:val="00F0710A"/>
    <w:rsid w:val="00F4246F"/>
    <w:rsid w:val="00F63F3C"/>
    <w:rsid w:val="00F6529B"/>
    <w:rsid w:val="00F66B3A"/>
    <w:rsid w:val="00F844CF"/>
    <w:rsid w:val="00F9136E"/>
    <w:rsid w:val="00F95BDA"/>
    <w:rsid w:val="00FA2740"/>
    <w:rsid w:val="00FB039D"/>
    <w:rsid w:val="00FB2FCF"/>
    <w:rsid w:val="00FC2C1A"/>
    <w:rsid w:val="00FC5F5B"/>
    <w:rsid w:val="00FC6940"/>
    <w:rsid w:val="00FD22C6"/>
    <w:rsid w:val="00FD2838"/>
    <w:rsid w:val="00FE05FB"/>
    <w:rsid w:val="00FE163B"/>
    <w:rsid w:val="00FE4876"/>
    <w:rsid w:val="00FE773B"/>
    <w:rsid w:val="00FF7E33"/>
    <w:rsid w:val="079CA8FC"/>
    <w:rsid w:val="182CAB85"/>
    <w:rsid w:val="1B267AC4"/>
    <w:rsid w:val="1C013BBD"/>
    <w:rsid w:val="20F858A9"/>
    <w:rsid w:val="236E93E3"/>
    <w:rsid w:val="2D53C4BE"/>
    <w:rsid w:val="3001068D"/>
    <w:rsid w:val="30113C72"/>
    <w:rsid w:val="38B25A7A"/>
    <w:rsid w:val="39F89387"/>
    <w:rsid w:val="3B8FD181"/>
    <w:rsid w:val="44D38860"/>
    <w:rsid w:val="48197981"/>
    <w:rsid w:val="4A93418B"/>
    <w:rsid w:val="529AC6A0"/>
    <w:rsid w:val="5A77AC13"/>
    <w:rsid w:val="5AA620EE"/>
    <w:rsid w:val="611D078F"/>
    <w:rsid w:val="6454A851"/>
    <w:rsid w:val="65F078B2"/>
    <w:rsid w:val="696423AA"/>
    <w:rsid w:val="70DFFC8D"/>
    <w:rsid w:val="7BB4A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ECEE"/>
  <w15:chartTrackingRefBased/>
  <w15:docId w15:val="{90B1D0E3-4C95-49C3-BD05-73866EE5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492"/>
    <w:pPr>
      <w:spacing w:after="0" w:line="240" w:lineRule="auto"/>
    </w:pPr>
    <w:rPr>
      <w:rFonts w:ascii="Arial" w:eastAsia="Times New Roman" w:hAnsi="Arial" w:cs="Arial"/>
      <w:sz w:val="24"/>
      <w:szCs w:val="24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822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B03"/>
    <w:pPr>
      <w:keepNext/>
      <w:keepLines/>
      <w:spacing w:before="40"/>
      <w:outlineLvl w:val="1"/>
    </w:pPr>
    <w:rPr>
      <w:rFonts w:eastAsia="Arial" w:cstheme="majorBidi"/>
      <w:b/>
      <w:noProof/>
      <w:sz w:val="32"/>
      <w:szCs w:val="32"/>
      <w:lang w:val="en-CA" w:bidi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822"/>
    <w:rPr>
      <w:rFonts w:ascii="Arial" w:eastAsiaTheme="majorEastAsia" w:hAnsi="Arial" w:cstheme="majorBidi"/>
      <w:color w:val="2E74B5" w:themeColor="accent1" w:themeShade="BF"/>
      <w:sz w:val="32"/>
      <w:szCs w:val="32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DB7B03"/>
    <w:rPr>
      <w:rFonts w:ascii="Arial" w:eastAsia="Arial" w:hAnsi="Arial" w:cstheme="majorBidi"/>
      <w:b/>
      <w:noProof/>
      <w:sz w:val="32"/>
      <w:szCs w:val="32"/>
      <w:lang w:bidi="en-CA"/>
    </w:rPr>
  </w:style>
  <w:style w:type="paragraph" w:styleId="Header">
    <w:name w:val="header"/>
    <w:basedOn w:val="Normal"/>
    <w:link w:val="HeaderChar"/>
    <w:uiPriority w:val="99"/>
    <w:rsid w:val="00E378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822"/>
    <w:rPr>
      <w:rFonts w:ascii="Arial" w:eastAsia="Times New Roman" w:hAnsi="Arial" w:cs="Arial"/>
      <w:sz w:val="24"/>
      <w:szCs w:val="24"/>
      <w:lang w:val="fr-CA"/>
    </w:rPr>
  </w:style>
  <w:style w:type="paragraph" w:styleId="Footer">
    <w:name w:val="footer"/>
    <w:basedOn w:val="Normal"/>
    <w:link w:val="FooterChar"/>
    <w:uiPriority w:val="99"/>
    <w:rsid w:val="00E378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822"/>
    <w:rPr>
      <w:rFonts w:ascii="Arial" w:eastAsia="Times New Roman" w:hAnsi="Arial" w:cs="Arial"/>
      <w:sz w:val="24"/>
      <w:szCs w:val="24"/>
      <w:lang w:val="fr-CA"/>
    </w:rPr>
  </w:style>
  <w:style w:type="paragraph" w:customStyle="1" w:styleId="ResolutionsServices-English">
    <w:name w:val="Resolutions Services - English"/>
    <w:basedOn w:val="Normal"/>
    <w:link w:val="ResolutionsServices-EnglishChar"/>
    <w:qFormat/>
    <w:rsid w:val="00E37822"/>
    <w:rPr>
      <w:i/>
      <w:iCs/>
      <w:sz w:val="16"/>
    </w:rPr>
  </w:style>
  <w:style w:type="character" w:customStyle="1" w:styleId="ResolutionsServices-EnglishChar">
    <w:name w:val="Resolutions Services - English Char"/>
    <w:basedOn w:val="DefaultParagraphFont"/>
    <w:link w:val="ResolutionsServices-English"/>
    <w:rsid w:val="00E37822"/>
    <w:rPr>
      <w:rFonts w:ascii="Arial" w:eastAsia="Times New Roman" w:hAnsi="Arial" w:cs="Arial"/>
      <w:i/>
      <w:iCs/>
      <w:sz w:val="16"/>
      <w:szCs w:val="24"/>
      <w:lang w:val="fr-CA"/>
    </w:rPr>
  </w:style>
  <w:style w:type="character" w:styleId="Hyperlink">
    <w:name w:val="Hyperlink"/>
    <w:basedOn w:val="DefaultParagraphFont"/>
    <w:uiPriority w:val="99"/>
    <w:unhideWhenUsed/>
    <w:rsid w:val="00E378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78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37822"/>
    <w:rPr>
      <w:color w:val="808080"/>
    </w:rPr>
  </w:style>
  <w:style w:type="character" w:customStyle="1" w:styleId="normaltextrun">
    <w:name w:val="normaltextrun"/>
    <w:basedOn w:val="DefaultParagraphFont"/>
    <w:rsid w:val="00E37822"/>
  </w:style>
  <w:style w:type="character" w:customStyle="1" w:styleId="eop">
    <w:name w:val="eop"/>
    <w:basedOn w:val="DefaultParagraphFont"/>
    <w:rsid w:val="00E37822"/>
  </w:style>
  <w:style w:type="paragraph" w:customStyle="1" w:styleId="paragraph">
    <w:name w:val="paragraph"/>
    <w:basedOn w:val="Normal"/>
    <w:rsid w:val="00E37822"/>
    <w:pPr>
      <w:spacing w:before="100" w:beforeAutospacing="1" w:after="100" w:afterAutospacing="1"/>
    </w:pPr>
    <w:rPr>
      <w:rFonts w:ascii="Times New Roman" w:hAnsi="Times New Roman" w:cs="Times New Roman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274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2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26B"/>
    <w:rPr>
      <w:rFonts w:ascii="Arial" w:eastAsia="Times New Roman" w:hAnsi="Arial" w:cs="Arial"/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26B"/>
    <w:rPr>
      <w:rFonts w:ascii="Arial" w:eastAsia="Times New Roman" w:hAnsi="Arial" w:cs="Arial"/>
      <w:b/>
      <w:bCs/>
      <w:sz w:val="20"/>
      <w:szCs w:val="20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2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26B"/>
    <w:rPr>
      <w:rFonts w:ascii="Segoe UI" w:eastAsia="Times New Roman" w:hAnsi="Segoe UI" w:cs="Segoe UI"/>
      <w:sz w:val="18"/>
      <w:szCs w:val="18"/>
      <w:lang w:val="fr-CA"/>
    </w:rPr>
  </w:style>
  <w:style w:type="paragraph" w:customStyle="1" w:styleId="subsection">
    <w:name w:val="subsection"/>
    <w:basedOn w:val="Normal"/>
    <w:rsid w:val="009C5679"/>
    <w:pPr>
      <w:spacing w:before="100" w:beforeAutospacing="1" w:after="100" w:afterAutospacing="1"/>
    </w:pPr>
    <w:rPr>
      <w:rFonts w:ascii="Times New Roman" w:hAnsi="Times New Roman" w:cs="Times New Roman"/>
      <w:lang w:val="en-CA" w:eastAsia="en-CA"/>
    </w:rPr>
  </w:style>
  <w:style w:type="character" w:customStyle="1" w:styleId="sectionlabel">
    <w:name w:val="sectionlabel"/>
    <w:basedOn w:val="DefaultParagraphFont"/>
    <w:rsid w:val="009C5679"/>
  </w:style>
  <w:style w:type="character" w:customStyle="1" w:styleId="lawlabel">
    <w:name w:val="lawlabel"/>
    <w:basedOn w:val="DefaultParagraphFont"/>
    <w:rsid w:val="009C5679"/>
  </w:style>
  <w:style w:type="paragraph" w:customStyle="1" w:styleId="subparagraph">
    <w:name w:val="subparagraph"/>
    <w:basedOn w:val="Normal"/>
    <w:rsid w:val="009C5679"/>
    <w:pPr>
      <w:spacing w:before="100" w:beforeAutospacing="1" w:after="100" w:afterAutospacing="1"/>
    </w:pPr>
    <w:rPr>
      <w:rFonts w:ascii="Times New Roman" w:hAnsi="Times New Roman" w:cs="Times New Roman"/>
      <w:lang w:val="en-CA" w:eastAsia="en-CA"/>
    </w:rPr>
  </w:style>
  <w:style w:type="paragraph" w:styleId="NoSpacing">
    <w:name w:val="No Spacing"/>
    <w:uiPriority w:val="1"/>
    <w:qFormat/>
    <w:rsid w:val="001335A9"/>
    <w:pPr>
      <w:spacing w:after="0" w:line="240" w:lineRule="auto"/>
    </w:pPr>
    <w:rPr>
      <w:rFonts w:ascii="Calibri" w:eastAsia="Calibri" w:hAnsi="Calibri" w:cs="Times New Roman"/>
      <w:lang w:val="fr-CA"/>
    </w:rPr>
  </w:style>
  <w:style w:type="table" w:styleId="TableGrid">
    <w:name w:val="Table Grid"/>
    <w:basedOn w:val="TableNormal"/>
    <w:uiPriority w:val="39"/>
    <w:rsid w:val="00662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E4083"/>
    <w:pPr>
      <w:spacing w:after="0" w:line="240" w:lineRule="auto"/>
    </w:pPr>
    <w:rPr>
      <w:rFonts w:ascii="Arial" w:eastAsia="Times New Roman" w:hAnsi="Arial" w:cs="Arial"/>
      <w:sz w:val="24"/>
      <w:szCs w:val="24"/>
      <w:lang w:val="fr-CA"/>
    </w:rPr>
  </w:style>
  <w:style w:type="character" w:customStyle="1" w:styleId="contentcontrolboundarysink">
    <w:name w:val="contentcontrolboundarysink"/>
    <w:basedOn w:val="DefaultParagraphFont"/>
    <w:rsid w:val="004E44EA"/>
  </w:style>
  <w:style w:type="character" w:styleId="UnresolvedMention">
    <w:name w:val="Unresolved Mention"/>
    <w:basedOn w:val="DefaultParagraphFont"/>
    <w:uiPriority w:val="99"/>
    <w:semiHidden/>
    <w:unhideWhenUsed/>
    <w:rsid w:val="00600E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19B9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64B39"/>
    <w:rPr>
      <w:rFonts w:eastAsiaTheme="minorHAnsi" w:cstheme="minorBidi"/>
      <w:sz w:val="20"/>
      <w:szCs w:val="20"/>
      <w:lang w:val="en-C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4B39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64B39"/>
    <w:rPr>
      <w:vertAlign w:val="superscript"/>
    </w:rPr>
  </w:style>
  <w:style w:type="character" w:styleId="Strong">
    <w:name w:val="Strong"/>
    <w:basedOn w:val="DefaultParagraphFont"/>
    <w:uiPriority w:val="22"/>
    <w:qFormat/>
    <w:rsid w:val="00FD22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payequitychrc.ca/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989</Words>
  <Characters>5641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DRAFT – Not for distribution</vt:lpstr>
      <vt:lpstr>DRAFT – Not for distribution</vt:lpstr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– Not for distribution</dc:title>
  <dc:subject/>
  <dc:creator>Rosalie Dumont</dc:creator>
  <cp:keywords/>
  <dc:description/>
  <cp:lastModifiedBy>Popowicz-Soni, Amanda (CHRC/CCDP)</cp:lastModifiedBy>
  <cp:revision>2</cp:revision>
  <dcterms:created xsi:type="dcterms:W3CDTF">2024-07-03T22:42:00Z</dcterms:created>
  <dcterms:modified xsi:type="dcterms:W3CDTF">2024-07-03T22:42:00Z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